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C707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500849</w:t>
      </w:r>
      <w:bookmarkStart w:id="10" w:name="_GoBack"/>
      <w:bookmarkEnd w:id="10"/>
    </w:p>
    <w:p w14:paraId="6255C5D4">
      <w:pPr>
        <w:pStyle w:val="18"/>
        <w:tabs>
          <w:tab w:val="right" w:pos="9781"/>
          <w:tab w:val="right" w:pos="13323"/>
          <w:tab w:val="clear" w:pos="4153"/>
          <w:tab w:val="clear" w:pos="8306"/>
        </w:tabs>
        <w:spacing w:before="60" w:after="60"/>
        <w:outlineLvl w:val="0"/>
        <w:rPr>
          <w:rFonts w:ascii="Arial" w:hAnsi="Arial" w:cs="Arial"/>
          <w:b/>
          <w:bCs/>
          <w:highlight w:val="yellow"/>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February</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602E3476">
      <w:pPr>
        <w:tabs>
          <w:tab w:val="left" w:pos="1985"/>
        </w:tabs>
        <w:rPr>
          <w:b/>
          <w:sz w:val="22"/>
        </w:rPr>
      </w:pPr>
    </w:p>
    <w:p w14:paraId="3B2ACF49">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7.25.2.2</w:t>
      </w:r>
    </w:p>
    <w:p w14:paraId="717C0F0D">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14:paraId="69E5E1E4">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r>
        <w:rPr>
          <w:rFonts w:hint="eastAsia"/>
          <w:sz w:val="22"/>
        </w:rPr>
        <w:t xml:space="preserve">Discussion on RRM requirement of </w:t>
      </w:r>
      <w:r>
        <w:rPr>
          <w:rFonts w:hint="eastAsia"/>
          <w:sz w:val="22"/>
          <w:lang w:val="en-US" w:eastAsia="zh-CN"/>
        </w:rPr>
        <w:t xml:space="preserve">OD-SIB1 and </w:t>
      </w:r>
      <w:r>
        <w:rPr>
          <w:rFonts w:hint="eastAsia"/>
          <w:sz w:val="22"/>
        </w:rPr>
        <w:t>signal adaptation for NES enhancement</w:t>
      </w:r>
    </w:p>
    <w:bookmarkEnd w:id="3"/>
    <w:bookmarkEnd w:id="4"/>
    <w:p w14:paraId="7BD7B317">
      <w:pPr>
        <w:tabs>
          <w:tab w:val="left" w:pos="1765"/>
        </w:tabs>
        <w:rPr>
          <w:sz w:val="22"/>
        </w:rPr>
      </w:pPr>
      <w:r>
        <w:rPr>
          <w:b/>
          <w:sz w:val="22"/>
        </w:rPr>
        <w:t>Document for:</w:t>
      </w:r>
      <w:r>
        <w:rPr>
          <w:b/>
          <w:sz w:val="22"/>
        </w:rPr>
        <w:tab/>
      </w:r>
      <w:r>
        <w:rPr>
          <w:sz w:val="22"/>
        </w:rPr>
        <w:t>Discussion</w:t>
      </w:r>
    </w:p>
    <w:p w14:paraId="745B317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44ED94C">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In last meeting, RAN4 discussed on demand SIB1 and SSB signal adaptation related issues, and some conclusions or recommendations have been approved in topic summary [1, 2] and the WF [3]. In this paper, we further discuss related issues, and identify RAN4 impacts according to the progress of other working group.</w:t>
      </w:r>
    </w:p>
    <w:p w14:paraId="7C7485A4">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zh-CN"/>
        </w:rPr>
      </w:pPr>
      <w:bookmarkStart w:id="5" w:name="_Hlk70326378"/>
      <w:bookmarkStart w:id="6" w:name="OLE_LINK1"/>
      <w:bookmarkStart w:id="7" w:name="OLE_LINK2"/>
      <w:r>
        <w:rPr>
          <w:rFonts w:hint="eastAsia" w:ascii="Times New Roman" w:hAnsi="Times New Roman"/>
          <w:b w:val="0"/>
          <w:bCs w:val="0"/>
          <w:kern w:val="0"/>
          <w:sz w:val="36"/>
          <w:szCs w:val="36"/>
          <w:lang w:val="en-GB" w:eastAsia="ko-KR"/>
        </w:rPr>
        <w:t>OD-SIB1 requirement</w:t>
      </w:r>
    </w:p>
    <w:p w14:paraId="18DA45B4">
      <w:pPr>
        <w:rPr>
          <w:b/>
          <w:i/>
          <w:iCs/>
          <w:color w:val="auto"/>
          <w:sz w:val="20"/>
          <w:szCs w:val="20"/>
          <w:u w:val="single"/>
          <w:lang w:eastAsia="zh-CN"/>
        </w:rPr>
      </w:pPr>
      <w:r>
        <w:rPr>
          <w:b/>
          <w:i/>
          <w:iCs/>
          <w:color w:val="auto"/>
          <w:sz w:val="20"/>
          <w:szCs w:val="20"/>
          <w:u w:val="single"/>
          <w:lang w:eastAsia="zh-CN"/>
        </w:rPr>
        <w:t xml:space="preserve">Issue </w:t>
      </w:r>
      <w:r>
        <w:rPr>
          <w:rFonts w:hint="eastAsia"/>
          <w:b/>
          <w:i/>
          <w:iCs/>
          <w:color w:val="auto"/>
          <w:sz w:val="20"/>
          <w:szCs w:val="20"/>
          <w:u w:val="single"/>
          <w:lang w:eastAsia="zh-CN"/>
        </w:rPr>
        <w:t>2</w:t>
      </w:r>
      <w:r>
        <w:rPr>
          <w:b/>
          <w:i/>
          <w:iCs/>
          <w:color w:val="auto"/>
          <w:sz w:val="20"/>
          <w:szCs w:val="20"/>
          <w:u w:val="single"/>
          <w:lang w:eastAsia="zh-CN"/>
        </w:rPr>
        <w:t>-1</w:t>
      </w:r>
      <w:r>
        <w:rPr>
          <w:rFonts w:hint="eastAsia"/>
          <w:b/>
          <w:i/>
          <w:iCs/>
          <w:color w:val="auto"/>
          <w:sz w:val="20"/>
          <w:szCs w:val="20"/>
          <w:u w:val="single"/>
          <w:lang w:eastAsia="zh-CN"/>
        </w:rPr>
        <w:t>-2</w:t>
      </w:r>
      <w:r>
        <w:rPr>
          <w:b/>
          <w:i/>
          <w:iCs/>
          <w:color w:val="auto"/>
          <w:sz w:val="20"/>
          <w:szCs w:val="20"/>
          <w:u w:val="single"/>
          <w:lang w:eastAsia="zh-CN"/>
        </w:rPr>
        <w:t xml:space="preserve">: </w:t>
      </w:r>
      <w:r>
        <w:rPr>
          <w:rFonts w:hint="eastAsia"/>
          <w:b/>
          <w:i/>
          <w:iCs/>
          <w:color w:val="auto"/>
          <w:sz w:val="20"/>
          <w:szCs w:val="20"/>
          <w:u w:val="single"/>
          <w:lang w:eastAsia="zh-CN"/>
        </w:rPr>
        <w:t>Te requirement</w:t>
      </w:r>
    </w:p>
    <w:p w14:paraId="08B0D65F">
      <w:pPr>
        <w:pStyle w:val="76"/>
        <w:numPr>
          <w:ilvl w:val="0"/>
          <w:numId w:val="4"/>
        </w:numPr>
        <w:overflowPunct/>
        <w:autoSpaceDE/>
        <w:autoSpaceDN/>
        <w:adjustRightInd/>
        <w:spacing w:after="120"/>
        <w:ind w:left="720" w:firstLineChars="0"/>
        <w:textAlignment w:val="auto"/>
        <w:rPr>
          <w:rFonts w:eastAsia="宋体"/>
          <w:i/>
          <w:iCs/>
          <w:color w:val="auto"/>
          <w:sz w:val="20"/>
          <w:szCs w:val="20"/>
          <w:lang w:eastAsia="zh-CN"/>
        </w:rPr>
      </w:pPr>
      <w:r>
        <w:rPr>
          <w:rFonts w:eastAsia="宋体"/>
          <w:i/>
          <w:iCs/>
          <w:color w:val="auto"/>
          <w:sz w:val="20"/>
          <w:szCs w:val="20"/>
          <w:lang w:eastAsia="zh-CN"/>
        </w:rPr>
        <w:t>Proposals</w:t>
      </w:r>
    </w:p>
    <w:p w14:paraId="031CB509">
      <w:pPr>
        <w:pStyle w:val="76"/>
        <w:numPr>
          <w:ilvl w:val="1"/>
          <w:numId w:val="4"/>
        </w:numPr>
        <w:overflowPunct/>
        <w:autoSpaceDE/>
        <w:autoSpaceDN/>
        <w:adjustRightInd/>
        <w:spacing w:after="120"/>
        <w:ind w:left="1440" w:firstLineChars="0"/>
        <w:textAlignment w:val="auto"/>
        <w:rPr>
          <w:rFonts w:eastAsia="宋体"/>
          <w:i/>
          <w:iCs/>
          <w:color w:val="auto"/>
          <w:sz w:val="20"/>
          <w:szCs w:val="20"/>
          <w:lang w:eastAsia="zh-CN"/>
        </w:rPr>
      </w:pPr>
      <w:r>
        <w:rPr>
          <w:rFonts w:eastAsia="宋体"/>
          <w:i/>
          <w:iCs/>
          <w:color w:val="auto"/>
          <w:sz w:val="20"/>
          <w:szCs w:val="20"/>
          <w:lang w:eastAsia="zh-CN"/>
        </w:rPr>
        <w:t xml:space="preserve">Option 1: </w:t>
      </w:r>
      <w:r>
        <w:rPr>
          <w:rFonts w:hint="eastAsia" w:eastAsiaTheme="minorEastAsia"/>
          <w:i/>
          <w:iCs/>
          <w:color w:val="auto"/>
          <w:sz w:val="20"/>
          <w:szCs w:val="20"/>
          <w:lang w:eastAsia="zh-CN"/>
        </w:rPr>
        <w:t>vivo</w:t>
      </w:r>
    </w:p>
    <w:p w14:paraId="7F59C86C">
      <w:pPr>
        <w:pStyle w:val="76"/>
        <w:numPr>
          <w:ilvl w:val="2"/>
          <w:numId w:val="4"/>
        </w:numPr>
        <w:overflowPunct/>
        <w:autoSpaceDE/>
        <w:autoSpaceDN/>
        <w:adjustRightInd/>
        <w:spacing w:after="120"/>
        <w:ind w:firstLineChars="0"/>
        <w:textAlignment w:val="auto"/>
        <w:rPr>
          <w:rFonts w:eastAsia="宋体"/>
          <w:i/>
          <w:iCs/>
          <w:color w:val="auto"/>
          <w:sz w:val="20"/>
          <w:szCs w:val="20"/>
          <w:lang w:eastAsia="zh-CN"/>
        </w:rPr>
      </w:pPr>
      <w:r>
        <w:rPr>
          <w:rFonts w:eastAsia="宋体"/>
          <w:bCs/>
          <w:i/>
          <w:iCs/>
          <w:color w:val="auto"/>
          <w:sz w:val="20"/>
          <w:szCs w:val="20"/>
          <w:lang w:eastAsia="zh-CN"/>
        </w:rPr>
        <w:t>For R19 OD-SIB1 related procedure, clarify DL timing reference of UL-WUS in TS 38.133. RAN4 may further discuss whether additional enhancement/relaxation on Te requirements is needed.</w:t>
      </w:r>
    </w:p>
    <w:p w14:paraId="1A76018B">
      <w:pPr>
        <w:rPr>
          <w:rFonts w:hint="default"/>
          <w:b/>
          <w:bCs/>
          <w:i/>
          <w:iCs/>
          <w:sz w:val="20"/>
          <w:szCs w:val="20"/>
          <w:lang w:val="en-US" w:eastAsia="zh-CN"/>
        </w:rPr>
      </w:pPr>
      <w:r>
        <w:rPr>
          <w:b/>
          <w:bCs/>
          <w:i/>
          <w:iCs/>
          <w:sz w:val="20"/>
          <w:szCs w:val="20"/>
          <w:highlight w:val="green"/>
          <w:lang w:val="en-US" w:eastAsia="zh-CN"/>
        </w:rPr>
        <w:t>Agreement</w:t>
      </w:r>
      <w:r>
        <w:rPr>
          <w:rFonts w:hint="eastAsia"/>
          <w:b/>
          <w:bCs/>
          <w:i/>
          <w:iCs/>
          <w:sz w:val="20"/>
          <w:szCs w:val="20"/>
          <w:highlight w:val="green"/>
          <w:lang w:val="en-US" w:eastAsia="zh-CN"/>
        </w:rPr>
        <w:t xml:space="preserve"> from RAN1#119</w:t>
      </w:r>
    </w:p>
    <w:p w14:paraId="5C3933B1">
      <w:pPr>
        <w:rPr>
          <w:i/>
          <w:iCs/>
          <w:sz w:val="20"/>
          <w:szCs w:val="15"/>
        </w:rPr>
      </w:pPr>
      <w:r>
        <w:rPr>
          <w:i/>
          <w:iCs/>
          <w:sz w:val="20"/>
          <w:szCs w:val="15"/>
        </w:rPr>
        <w:t>The parameter “</w:t>
      </w:r>
      <w:r>
        <w:rPr>
          <w:i/>
          <w:iCs/>
          <w:sz w:val="20"/>
          <w:szCs w:val="20"/>
        </w:rPr>
        <w:t>n-TimingAdvanceOffset</w:t>
      </w:r>
      <w:r>
        <w:rPr>
          <w:i/>
          <w:iCs/>
          <w:sz w:val="20"/>
          <w:szCs w:val="15"/>
        </w:rPr>
        <w:t>” is included in the UL-WUS configuration.</w:t>
      </w:r>
    </w:p>
    <w:p w14:paraId="3CFAC2E9">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auto"/>
        <w:rPr>
          <w:rFonts w:hint="default" w:eastAsia="宋体"/>
          <w:sz w:val="20"/>
          <w:szCs w:val="20"/>
          <w:lang w:val="en-US" w:eastAsia="zh-CN"/>
        </w:rPr>
      </w:pPr>
      <w:r>
        <w:rPr>
          <w:rFonts w:hint="eastAsia" w:eastAsia="宋体"/>
          <w:sz w:val="20"/>
          <w:szCs w:val="20"/>
          <w:lang w:val="en-US" w:eastAsia="zh-CN"/>
        </w:rPr>
        <w:t>Based on the current progress of RAN1, Case2 will be specified in R19.</w:t>
      </w:r>
    </w:p>
    <w:p w14:paraId="574E5663">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Case 2: </w:t>
      </w:r>
    </w:p>
    <w:p w14:paraId="739C54A9">
      <w:pPr>
        <w:numPr>
          <w:ilvl w:val="0"/>
          <w:numId w:val="5"/>
        </w:numPr>
        <w:overflowPunct w:val="0"/>
        <w:autoSpaceDE w:val="0"/>
        <w:autoSpaceDN w:val="0"/>
        <w:adjustRightInd w:val="0"/>
        <w:spacing w:after="120"/>
        <w:ind w:left="420" w:leftChars="0" w:hanging="420" w:firstLineChars="0"/>
        <w:jc w:val="both"/>
        <w:rPr>
          <w:rFonts w:hint="eastAsia" w:eastAsia="宋体"/>
          <w:sz w:val="20"/>
          <w:szCs w:val="20"/>
          <w:lang w:val="en-US" w:eastAsia="zh-TW"/>
        </w:rPr>
      </w:pPr>
      <w:r>
        <w:rPr>
          <w:rFonts w:hint="eastAsia" w:eastAsia="宋体"/>
          <w:sz w:val="20"/>
          <w:szCs w:val="20"/>
          <w:lang w:val="en-US" w:eastAsia="zh-TW"/>
        </w:rPr>
        <w:t>UE transmits UL</w:t>
      </w:r>
      <w:r>
        <w:rPr>
          <w:rFonts w:hint="eastAsia" w:eastAsia="宋体"/>
          <w:sz w:val="20"/>
          <w:szCs w:val="20"/>
          <w:lang w:val="en-US" w:eastAsia="zh-CN"/>
        </w:rPr>
        <w:t>-</w:t>
      </w:r>
      <w:r>
        <w:rPr>
          <w:rFonts w:hint="eastAsia" w:eastAsia="宋体"/>
          <w:sz w:val="20"/>
          <w:szCs w:val="20"/>
          <w:lang w:val="en-US" w:eastAsia="zh-TW"/>
        </w:rPr>
        <w:t>WUS to NES Cell</w:t>
      </w:r>
    </w:p>
    <w:p w14:paraId="017B4E63">
      <w:pPr>
        <w:numPr>
          <w:ilvl w:val="0"/>
          <w:numId w:val="5"/>
        </w:numPr>
        <w:overflowPunct w:val="0"/>
        <w:autoSpaceDE w:val="0"/>
        <w:autoSpaceDN w:val="0"/>
        <w:adjustRightInd w:val="0"/>
        <w:spacing w:after="120"/>
        <w:ind w:left="420" w:leftChars="0" w:hanging="420" w:firstLineChars="0"/>
        <w:jc w:val="both"/>
        <w:rPr>
          <w:rFonts w:hint="eastAsia" w:eastAsia="宋体"/>
          <w:sz w:val="20"/>
          <w:szCs w:val="20"/>
          <w:lang w:val="en-US" w:eastAsia="zh-TW"/>
        </w:rPr>
      </w:pPr>
      <w:bookmarkStart w:id="8" w:name="OLE_LINK283"/>
      <w:r>
        <w:rPr>
          <w:rFonts w:hint="eastAsia" w:eastAsia="宋体"/>
          <w:sz w:val="20"/>
          <w:szCs w:val="20"/>
          <w:lang w:val="en-US" w:eastAsia="zh-TW"/>
        </w:rPr>
        <w:t xml:space="preserve">UE obtains the </w:t>
      </w:r>
      <w:bookmarkStart w:id="9" w:name="OLE_LINK277"/>
      <w:r>
        <w:rPr>
          <w:rFonts w:hint="eastAsia" w:eastAsia="宋体"/>
          <w:sz w:val="20"/>
          <w:szCs w:val="20"/>
          <w:lang w:val="en-US" w:eastAsia="zh-TW"/>
        </w:rPr>
        <w:t>UL</w:t>
      </w:r>
      <w:r>
        <w:rPr>
          <w:rFonts w:hint="eastAsia" w:eastAsia="宋体"/>
          <w:sz w:val="20"/>
          <w:szCs w:val="20"/>
          <w:lang w:val="en-US" w:eastAsia="zh-CN"/>
        </w:rPr>
        <w:t>-</w:t>
      </w:r>
      <w:r>
        <w:rPr>
          <w:rFonts w:hint="eastAsia" w:eastAsia="宋体"/>
          <w:sz w:val="20"/>
          <w:szCs w:val="20"/>
          <w:lang w:val="en-US" w:eastAsia="zh-TW"/>
        </w:rPr>
        <w:t>WUS configuration from Cell A</w:t>
      </w:r>
      <w:bookmarkEnd w:id="8"/>
      <w:bookmarkEnd w:id="9"/>
    </w:p>
    <w:p w14:paraId="6C6B6591">
      <w:pPr>
        <w:numPr>
          <w:ilvl w:val="0"/>
          <w:numId w:val="5"/>
        </w:numPr>
        <w:overflowPunct w:val="0"/>
        <w:autoSpaceDE w:val="0"/>
        <w:autoSpaceDN w:val="0"/>
        <w:adjustRightInd w:val="0"/>
        <w:spacing w:after="120"/>
        <w:ind w:left="420" w:leftChars="0" w:hanging="420" w:firstLineChars="0"/>
        <w:jc w:val="both"/>
        <w:rPr>
          <w:rFonts w:hint="default" w:eastAsia="宋体"/>
          <w:sz w:val="20"/>
          <w:szCs w:val="20"/>
          <w:lang w:val="en-US" w:eastAsia="zh-CN"/>
        </w:rPr>
      </w:pPr>
      <w:r>
        <w:rPr>
          <w:rFonts w:hint="eastAsia" w:eastAsia="宋体"/>
          <w:sz w:val="20"/>
          <w:szCs w:val="20"/>
          <w:lang w:val="en-US" w:eastAsia="zh-TW"/>
        </w:rPr>
        <w:t>UE receives on-demand SIB1 from NES Cell</w:t>
      </w:r>
    </w:p>
    <w:p w14:paraId="5FE8FB83">
      <w:pPr>
        <w:numPr>
          <w:ilvl w:val="0"/>
          <w:numId w:val="0"/>
        </w:numPr>
        <w:overflowPunct w:val="0"/>
        <w:autoSpaceDE w:val="0"/>
        <w:autoSpaceDN w:val="0"/>
        <w:adjustRightInd w:val="0"/>
        <w:spacing w:after="120"/>
        <w:jc w:val="both"/>
        <w:rPr>
          <w:rFonts w:hint="eastAsia" w:hAnsi="Cambria Math" w:eastAsia="宋体"/>
          <w:i w:val="0"/>
          <w:sz w:val="20"/>
          <w:szCs w:val="20"/>
          <w:lang w:val="en-US" w:eastAsia="zh-CN"/>
        </w:rPr>
      </w:pPr>
      <w:r>
        <w:rPr>
          <w:rFonts w:hint="eastAsia" w:eastAsia="宋体"/>
          <w:sz w:val="20"/>
          <w:szCs w:val="20"/>
          <w:lang w:val="en-US" w:eastAsia="zh-CN"/>
        </w:rPr>
        <w:t>Since UE need to transmit the UL WUS to NES Cell, the UL timing requirement should be specified in RAN4. Different from legacy PRACH transmission, the DL timing reference of UL-WUS shall be the downlink timing of the reference</w:t>
      </w:r>
      <w:r>
        <w:rPr>
          <w:rFonts w:hint="eastAsia" w:eastAsia="宋体"/>
          <w:sz w:val="20"/>
          <w:szCs w:val="20"/>
          <w:u w:val="none"/>
          <w:lang w:val="en-US" w:eastAsia="zh-CN"/>
        </w:rPr>
        <w:t xml:space="preserve"> cell </w:t>
      </w:r>
      <w:r>
        <w:rPr>
          <w:rFonts w:hint="eastAsia" w:eastAsia="宋体"/>
          <w:sz w:val="20"/>
          <w:szCs w:val="20"/>
          <w:lang w:val="en-US" w:eastAsia="zh-CN"/>
        </w:rPr>
        <w:t xml:space="preserve">minus </w:t>
      </w:r>
      <m:oMath>
        <m:d>
          <m:dPr>
            <m:ctrlPr>
              <w:rPr>
                <w:rFonts w:hint="eastAsia" w:ascii="Cambria Math" w:hAnsi="Cambria Math" w:eastAsia="宋体"/>
                <w:sz w:val="20"/>
                <w:szCs w:val="20"/>
                <w:lang w:val="en-US" w:eastAsia="zh-CN"/>
              </w:rPr>
            </m:ctrlPr>
          </m:dPr>
          <m:e>
            <m:sSub>
              <m:sSubPr>
                <m:ctrlPr>
                  <w:rPr>
                    <w:rFonts w:hint="eastAsia" w:ascii="Cambria Math" w:hAnsi="Cambria Math" w:eastAsia="宋体"/>
                    <w:sz w:val="20"/>
                    <w:szCs w:val="20"/>
                    <w:lang w:val="en-US" w:eastAsia="zh-CN"/>
                  </w:rPr>
                </m:ctrlPr>
              </m:sSubPr>
              <m:e>
                <m:r>
                  <m:rPr>
                    <m:sty m:val="p"/>
                  </m:rPr>
                  <w:rPr>
                    <w:rFonts w:hint="eastAsia" w:ascii="Cambria Math" w:hAnsi="Cambria Math" w:eastAsia="宋体"/>
                    <w:sz w:val="20"/>
                    <w:szCs w:val="20"/>
                    <w:lang w:val="en-US" w:eastAsia="zh-CN"/>
                  </w:rPr>
                  <m:t>N</m:t>
                </m:r>
                <m:ctrlPr>
                  <w:rPr>
                    <w:rFonts w:hint="eastAsia" w:ascii="Cambria Math" w:hAnsi="Cambria Math" w:eastAsia="宋体"/>
                    <w:sz w:val="20"/>
                    <w:szCs w:val="20"/>
                    <w:lang w:val="en-US" w:eastAsia="zh-CN"/>
                  </w:rPr>
                </m:ctrlPr>
              </m:e>
              <m:sub>
                <m:r>
                  <m:rPr>
                    <m:nor/>
                    <m:sty m:val="p"/>
                  </m:rPr>
                  <w:rPr>
                    <w:rFonts w:hint="eastAsia" w:ascii="Cambria Math" w:hAnsi="Cambria Math" w:eastAsia="宋体"/>
                    <w:b w:val="0"/>
                    <w:i w:val="0"/>
                    <w:sz w:val="20"/>
                    <w:szCs w:val="20"/>
                    <w:lang w:val="en-US" w:eastAsia="zh-CN"/>
                  </w:rPr>
                  <m:t>TA</m:t>
                </m:r>
                <m:ctrlPr>
                  <w:rPr>
                    <w:rFonts w:hint="eastAsia" w:ascii="Cambria Math" w:hAnsi="Cambria Math" w:eastAsia="宋体"/>
                    <w:sz w:val="20"/>
                    <w:szCs w:val="20"/>
                    <w:lang w:val="en-US" w:eastAsia="zh-CN"/>
                  </w:rPr>
                </m:ctrlPr>
              </m:sub>
            </m:sSub>
            <m:r>
              <m:rPr>
                <m:sty m:val="p"/>
              </m:rPr>
              <w:rPr>
                <w:rFonts w:hint="eastAsia" w:ascii="Cambria Math" w:hAnsi="Cambria Math" w:eastAsia="宋体"/>
                <w:sz w:val="20"/>
                <w:szCs w:val="20"/>
                <w:lang w:val="en-US" w:eastAsia="zh-CN"/>
              </w:rPr>
              <m:t>+</m:t>
            </m:r>
            <m:sSub>
              <m:sSubPr>
                <m:ctrlPr>
                  <w:rPr>
                    <w:rFonts w:hint="eastAsia" w:ascii="Cambria Math" w:hAnsi="Cambria Math" w:eastAsia="宋体"/>
                    <w:sz w:val="20"/>
                    <w:szCs w:val="20"/>
                    <w:lang w:val="en-US" w:eastAsia="zh-CN"/>
                  </w:rPr>
                </m:ctrlPr>
              </m:sSubPr>
              <m:e>
                <m:r>
                  <m:rPr>
                    <m:sty m:val="p"/>
                  </m:rPr>
                  <w:rPr>
                    <w:rFonts w:hint="eastAsia" w:ascii="Cambria Math" w:hAnsi="Cambria Math" w:eastAsia="宋体"/>
                    <w:sz w:val="20"/>
                    <w:szCs w:val="20"/>
                    <w:lang w:val="en-US" w:eastAsia="zh-CN"/>
                  </w:rPr>
                  <m:t>N</m:t>
                </m:r>
                <m:ctrlPr>
                  <w:rPr>
                    <w:rFonts w:hint="eastAsia" w:ascii="Cambria Math" w:hAnsi="Cambria Math" w:eastAsia="宋体"/>
                    <w:sz w:val="20"/>
                    <w:szCs w:val="20"/>
                    <w:lang w:val="en-US" w:eastAsia="zh-CN"/>
                  </w:rPr>
                </m:ctrlPr>
              </m:e>
              <m:sub>
                <m:r>
                  <m:rPr>
                    <m:nor/>
                    <m:sty m:val="p"/>
                  </m:rPr>
                  <w:rPr>
                    <w:rFonts w:hint="eastAsia" w:ascii="Cambria Math" w:hAnsi="Cambria Math" w:eastAsia="宋体"/>
                    <w:b w:val="0"/>
                    <w:i w:val="0"/>
                    <w:sz w:val="20"/>
                    <w:szCs w:val="20"/>
                    <w:lang w:val="en-US" w:eastAsia="zh-CN"/>
                  </w:rPr>
                  <m:t>TA offset</m:t>
                </m:r>
                <m:ctrlPr>
                  <w:rPr>
                    <w:rFonts w:hint="eastAsia" w:ascii="Cambria Math" w:hAnsi="Cambria Math" w:eastAsia="宋体"/>
                    <w:sz w:val="20"/>
                    <w:szCs w:val="20"/>
                    <w:lang w:val="en-US" w:eastAsia="zh-CN"/>
                  </w:rPr>
                </m:ctrlPr>
              </m:sub>
            </m:sSub>
            <m:ctrlPr>
              <w:rPr>
                <w:rFonts w:hint="eastAsia" w:ascii="Cambria Math" w:hAnsi="Cambria Math" w:eastAsia="宋体"/>
                <w:sz w:val="20"/>
                <w:szCs w:val="20"/>
                <w:lang w:val="en-US" w:eastAsia="zh-CN"/>
              </w:rPr>
            </m:ctrlPr>
          </m:e>
        </m:d>
        <m:r>
          <m:rPr>
            <m:sty m:val="p"/>
          </m:rPr>
          <w:rPr>
            <w:rFonts w:hint="eastAsia" w:ascii="Cambria Math" w:hAnsi="Cambria Math" w:eastAsia="宋体"/>
            <w:sz w:val="20"/>
            <w:szCs w:val="20"/>
            <w:lang w:val="en-US" w:eastAsia="zh-CN"/>
          </w:rPr>
          <m:t>×</m:t>
        </m:r>
        <m:sSub>
          <m:sSubPr>
            <m:ctrlPr>
              <w:rPr>
                <w:rFonts w:hint="eastAsia" w:ascii="Cambria Math" w:hAnsi="Cambria Math" w:eastAsia="宋体"/>
                <w:sz w:val="20"/>
                <w:szCs w:val="20"/>
                <w:lang w:val="en-US" w:eastAsia="zh-CN"/>
              </w:rPr>
            </m:ctrlPr>
          </m:sSubPr>
          <m:e>
            <m:r>
              <m:rPr>
                <m:sty m:val="p"/>
              </m:rPr>
              <w:rPr>
                <w:rFonts w:hint="eastAsia" w:ascii="Cambria Math" w:hAnsi="Cambria Math" w:eastAsia="宋体"/>
                <w:sz w:val="20"/>
                <w:szCs w:val="20"/>
                <w:lang w:val="en-US" w:eastAsia="zh-CN"/>
              </w:rPr>
              <m:t>T</m:t>
            </m:r>
            <m:ctrlPr>
              <w:rPr>
                <w:rFonts w:hint="eastAsia" w:ascii="Cambria Math" w:hAnsi="Cambria Math" w:eastAsia="宋体"/>
                <w:sz w:val="20"/>
                <w:szCs w:val="20"/>
                <w:lang w:val="en-US" w:eastAsia="zh-CN"/>
              </w:rPr>
            </m:ctrlPr>
          </m:e>
          <m:sub>
            <m:r>
              <m:rPr>
                <m:sty m:val="p"/>
              </m:rPr>
              <w:rPr>
                <w:rFonts w:hint="eastAsia" w:ascii="Cambria Math" w:hAnsi="Cambria Math" w:eastAsia="宋体"/>
                <w:sz w:val="20"/>
                <w:szCs w:val="20"/>
                <w:lang w:val="en-US" w:eastAsia="zh-CN"/>
              </w:rPr>
              <m:t>c</m:t>
            </m:r>
            <m:ctrlPr>
              <w:rPr>
                <w:rFonts w:hint="eastAsia" w:ascii="Cambria Math" w:hAnsi="Cambria Math" w:eastAsia="宋体"/>
                <w:sz w:val="20"/>
                <w:szCs w:val="20"/>
                <w:lang w:val="en-US" w:eastAsia="zh-CN"/>
              </w:rPr>
            </m:ctrlPr>
          </m:sub>
        </m:sSub>
      </m:oMath>
      <w:r>
        <w:rPr>
          <w:rFonts w:hint="eastAsia" w:hAnsi="Cambria Math" w:eastAsia="宋体"/>
          <w:i w:val="0"/>
          <w:sz w:val="20"/>
          <w:szCs w:val="20"/>
          <w:lang w:val="en-US" w:eastAsia="zh-CN"/>
        </w:rPr>
        <w:t xml:space="preserve">, </w:t>
      </w:r>
    </w:p>
    <w:p w14:paraId="7D0A7F09">
      <w:pPr>
        <w:numPr>
          <w:ilvl w:val="0"/>
          <w:numId w:val="5"/>
        </w:numPr>
        <w:overflowPunct w:val="0"/>
        <w:autoSpaceDE w:val="0"/>
        <w:autoSpaceDN w:val="0"/>
        <w:adjustRightInd w:val="0"/>
        <w:spacing w:after="120"/>
        <w:ind w:left="420" w:leftChars="0" w:hanging="420" w:firstLineChars="0"/>
        <w:jc w:val="both"/>
        <w:rPr>
          <w:rFonts w:hint="eastAsia" w:hAnsi="Cambria Math" w:eastAsia="宋体"/>
          <w:i w:val="0"/>
          <w:sz w:val="20"/>
          <w:szCs w:val="20"/>
          <w:lang w:val="en-US" w:eastAsia="zh-CN"/>
        </w:rPr>
      </w:pPr>
      <w:r>
        <w:rPr>
          <w:rFonts w:hint="eastAsia" w:hAnsi="Cambria Math" w:eastAsia="宋体"/>
          <w:i w:val="0"/>
          <w:sz w:val="20"/>
          <w:szCs w:val="20"/>
          <w:lang w:val="en-US" w:eastAsia="zh-CN"/>
        </w:rPr>
        <w:t>reference cell is the NES cell</w:t>
      </w:r>
    </w:p>
    <w:p w14:paraId="01831422">
      <w:pPr>
        <w:numPr>
          <w:ilvl w:val="0"/>
          <w:numId w:val="5"/>
        </w:numPr>
        <w:overflowPunct w:val="0"/>
        <w:autoSpaceDE w:val="0"/>
        <w:autoSpaceDN w:val="0"/>
        <w:adjustRightInd w:val="0"/>
        <w:spacing w:after="120"/>
        <w:ind w:left="420" w:leftChars="0" w:hanging="420" w:firstLineChars="0"/>
        <w:jc w:val="both"/>
        <w:rPr>
          <w:rFonts w:hint="eastAsia" w:hAnsi="Cambria Math" w:eastAsia="宋体"/>
          <w:i w:val="0"/>
          <w:sz w:val="20"/>
          <w:szCs w:val="20"/>
          <w:lang w:val="en-US" w:eastAsia="zh-CN"/>
        </w:rPr>
      </w:pPr>
      <w:r>
        <w:rPr>
          <w:rFonts w:hint="eastAsia" w:hAnsi="Cambria Math" w:eastAsia="宋体"/>
          <w:i w:val="0"/>
          <w:sz w:val="20"/>
          <w:szCs w:val="20"/>
          <w:lang w:val="en-US" w:eastAsia="zh-CN"/>
        </w:rPr>
        <w:t>N</w:t>
      </w:r>
      <w:r>
        <w:rPr>
          <w:rFonts w:hint="eastAsia" w:hAnsi="Cambria Math" w:eastAsia="宋体"/>
          <w:i w:val="0"/>
          <w:sz w:val="20"/>
          <w:szCs w:val="20"/>
          <w:vertAlign w:val="subscript"/>
          <w:lang w:val="en-US" w:eastAsia="zh-CN"/>
        </w:rPr>
        <w:t>TA</w:t>
      </w:r>
      <w:r>
        <w:rPr>
          <w:rFonts w:hint="eastAsia" w:hAnsi="Cambria Math" w:eastAsia="宋体"/>
          <w:i w:val="0"/>
          <w:sz w:val="20"/>
          <w:szCs w:val="20"/>
          <w:lang w:val="en-US" w:eastAsia="zh-CN"/>
        </w:rPr>
        <w:t xml:space="preserve"> for UL-WUS is defined as 0</w:t>
      </w:r>
    </w:p>
    <w:p w14:paraId="61BD28B3">
      <w:pPr>
        <w:numPr>
          <w:ilvl w:val="0"/>
          <w:numId w:val="5"/>
        </w:numPr>
        <w:overflowPunct w:val="0"/>
        <w:autoSpaceDE w:val="0"/>
        <w:autoSpaceDN w:val="0"/>
        <w:adjustRightInd w:val="0"/>
        <w:spacing w:after="120"/>
        <w:ind w:left="420" w:leftChars="0" w:hanging="420" w:firstLineChars="0"/>
        <w:jc w:val="both"/>
        <w:rPr>
          <w:rFonts w:hint="default" w:eastAsiaTheme="minorEastAsia"/>
          <w:sz w:val="20"/>
          <w:szCs w:val="20"/>
          <w:lang w:val="en-US" w:eastAsia="zh-CN"/>
        </w:rPr>
      </w:pPr>
      <w:r>
        <w:rPr>
          <w:b/>
          <w:position w:val="-10"/>
          <w:sz w:val="20"/>
          <w:szCs w:val="2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sz w:val="20"/>
          <w:szCs w:val="20"/>
          <w:lang w:val="en-US" w:eastAsia="zh-CN"/>
        </w:rPr>
        <w:t xml:space="preserve">is </w:t>
      </w:r>
      <w:r>
        <w:rPr>
          <w:sz w:val="20"/>
          <w:szCs w:val="20"/>
        </w:rPr>
        <w:t xml:space="preserve">the </w:t>
      </w:r>
      <w:r>
        <w:rPr>
          <w:i/>
          <w:iCs/>
          <w:sz w:val="20"/>
          <w:szCs w:val="20"/>
        </w:rPr>
        <w:t>n-TimingAdvanceOffset</w:t>
      </w:r>
      <w:r>
        <w:rPr>
          <w:rFonts w:hint="eastAsia"/>
          <w:sz w:val="20"/>
          <w:szCs w:val="20"/>
          <w:lang w:val="en-US" w:eastAsia="zh-CN"/>
        </w:rPr>
        <w:t xml:space="preserve"> from UL-WUS configuration if configured, if not, follow the default value defined in Table 7.1.2-2 TS 38.133</w:t>
      </w:r>
    </w:p>
    <w:p w14:paraId="3804AA95">
      <w:pPr>
        <w:overflowPunct w:val="0"/>
        <w:autoSpaceDE w:val="0"/>
        <w:autoSpaceDN w:val="0"/>
        <w:adjustRightInd w:val="0"/>
        <w:spacing w:after="120"/>
        <w:jc w:val="both"/>
        <w:rPr>
          <w:rFonts w:hint="eastAsia" w:hAnsi="Cambria Math" w:eastAsia="宋体"/>
          <w:b/>
          <w:bCs/>
          <w:i/>
          <w:iCs/>
          <w:sz w:val="20"/>
          <w:szCs w:val="20"/>
          <w:lang w:val="en-US" w:eastAsia="zh-CN"/>
        </w:rPr>
      </w:pPr>
      <w:r>
        <w:rPr>
          <w:rFonts w:hint="eastAsia"/>
          <w:b/>
          <w:bCs/>
          <w:i/>
          <w:iCs/>
          <w:sz w:val="20"/>
          <w:szCs w:val="20"/>
          <w:lang w:val="en-US" w:eastAsia="zh-CN"/>
        </w:rPr>
        <w:t xml:space="preserve">Proposal 1: For the UL timing requirement of UL-WUS, the </w:t>
      </w:r>
      <w:r>
        <w:rPr>
          <w:rFonts w:hint="eastAsia" w:eastAsia="宋体"/>
          <w:b/>
          <w:bCs/>
          <w:i/>
          <w:iCs/>
          <w:sz w:val="20"/>
          <w:szCs w:val="20"/>
          <w:lang w:val="en-US" w:eastAsia="zh-CN"/>
        </w:rPr>
        <w:t>DL timing reference of UL-WUS shall be the downlink timing of the reference</w:t>
      </w:r>
      <w:r>
        <w:rPr>
          <w:rFonts w:hint="eastAsia" w:eastAsia="宋体"/>
          <w:b/>
          <w:bCs/>
          <w:i/>
          <w:iCs/>
          <w:sz w:val="20"/>
          <w:szCs w:val="20"/>
          <w:u w:val="none"/>
          <w:lang w:val="en-US" w:eastAsia="zh-CN"/>
        </w:rPr>
        <w:t xml:space="preserve"> cell </w:t>
      </w:r>
      <w:r>
        <w:rPr>
          <w:rFonts w:hint="eastAsia" w:eastAsia="宋体"/>
          <w:b/>
          <w:bCs/>
          <w:i/>
          <w:iCs/>
          <w:sz w:val="20"/>
          <w:szCs w:val="20"/>
          <w:lang w:val="en-US" w:eastAsia="zh-CN"/>
        </w:rPr>
        <w:t xml:space="preserve">minus </w:t>
      </w:r>
      <m:oMath>
        <m:d>
          <m:dPr>
            <m:ctrlPr>
              <w:rPr>
                <w:rFonts w:hint="eastAsia" w:ascii="Cambria Math" w:hAnsi="Cambria Math" w:eastAsia="宋体"/>
                <w:b/>
                <w:bCs/>
                <w:i/>
                <w:iCs/>
                <w:sz w:val="20"/>
                <w:szCs w:val="20"/>
                <w:lang w:val="en-US" w:eastAsia="zh-CN"/>
              </w:rPr>
            </m:ctrlPr>
          </m:dPr>
          <m:e>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N</m:t>
                </m:r>
                <m:ctrlPr>
                  <w:rPr>
                    <w:rFonts w:hint="eastAsia" w:ascii="Cambria Math" w:hAnsi="Cambria Math" w:eastAsia="宋体"/>
                    <w:b/>
                    <w:bCs/>
                    <w:i/>
                    <w:iCs/>
                    <w:sz w:val="20"/>
                    <w:szCs w:val="20"/>
                    <w:lang w:val="en-US" w:eastAsia="zh-CN"/>
                  </w:rPr>
                </m:ctrlPr>
              </m:e>
              <m:sub>
                <m:r>
                  <m:rPr>
                    <m:nor/>
                    <m:sty m:val="bi"/>
                  </m:rPr>
                  <w:rPr>
                    <w:rFonts w:hint="eastAsia" w:ascii="Cambria Math" w:hAnsi="Cambria Math" w:eastAsia="宋体"/>
                    <w:b/>
                    <w:bCs/>
                    <w:i/>
                    <w:iCs/>
                    <w:sz w:val="20"/>
                    <w:szCs w:val="20"/>
                    <w:lang w:val="en-US" w:eastAsia="zh-CN"/>
                  </w:rPr>
                  <m:t>TA</m:t>
                </m:r>
                <m:ctrlPr>
                  <w:rPr>
                    <w:rFonts w:hint="eastAsia" w:ascii="Cambria Math" w:hAnsi="Cambria Math" w:eastAsia="宋体"/>
                    <w:b/>
                    <w:bCs/>
                    <w:i/>
                    <w:iCs/>
                    <w:sz w:val="20"/>
                    <w:szCs w:val="20"/>
                    <w:lang w:val="en-US" w:eastAsia="zh-CN"/>
                  </w:rPr>
                </m:ctrlPr>
              </m:sub>
            </m:sSub>
            <m:r>
              <m:rPr>
                <m:sty m:val="bi"/>
              </m:rPr>
              <w:rPr>
                <w:rFonts w:hint="eastAsia" w:ascii="Cambria Math" w:hAnsi="Cambria Math" w:eastAsia="宋体"/>
                <w:sz w:val="20"/>
                <w:szCs w:val="20"/>
                <w:lang w:val="en-US" w:eastAsia="zh-CN"/>
              </w:rPr>
              <m:t>+</m:t>
            </m:r>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N</m:t>
                </m:r>
                <m:ctrlPr>
                  <w:rPr>
                    <w:rFonts w:hint="eastAsia" w:ascii="Cambria Math" w:hAnsi="Cambria Math" w:eastAsia="宋体"/>
                    <w:b/>
                    <w:bCs/>
                    <w:i/>
                    <w:iCs/>
                    <w:sz w:val="20"/>
                    <w:szCs w:val="20"/>
                    <w:lang w:val="en-US" w:eastAsia="zh-CN"/>
                  </w:rPr>
                </m:ctrlPr>
              </m:e>
              <m:sub>
                <m:r>
                  <m:rPr>
                    <m:nor/>
                    <m:sty m:val="bi"/>
                  </m:rPr>
                  <w:rPr>
                    <w:rFonts w:hint="eastAsia" w:ascii="Cambria Math" w:hAnsi="Cambria Math" w:eastAsia="宋体"/>
                    <w:b/>
                    <w:bCs/>
                    <w:i/>
                    <w:iCs/>
                    <w:sz w:val="20"/>
                    <w:szCs w:val="20"/>
                    <w:lang w:val="en-US" w:eastAsia="zh-CN"/>
                  </w:rPr>
                  <m:t>TA offset</m:t>
                </m:r>
                <m:ctrlPr>
                  <w:rPr>
                    <w:rFonts w:hint="eastAsia" w:ascii="Cambria Math" w:hAnsi="Cambria Math" w:eastAsia="宋体"/>
                    <w:b/>
                    <w:bCs/>
                    <w:i/>
                    <w:iCs/>
                    <w:sz w:val="20"/>
                    <w:szCs w:val="20"/>
                    <w:lang w:val="en-US" w:eastAsia="zh-CN"/>
                  </w:rPr>
                </m:ctrlPr>
              </m:sub>
            </m:sSub>
            <m:ctrlPr>
              <w:rPr>
                <w:rFonts w:hint="eastAsia" w:ascii="Cambria Math" w:hAnsi="Cambria Math" w:eastAsia="宋体"/>
                <w:b/>
                <w:bCs/>
                <w:i/>
                <w:iCs/>
                <w:sz w:val="20"/>
                <w:szCs w:val="20"/>
                <w:lang w:val="en-US" w:eastAsia="zh-CN"/>
              </w:rPr>
            </m:ctrlPr>
          </m:e>
        </m:d>
        <m:r>
          <m:rPr>
            <m:sty m:val="bi"/>
          </m:rPr>
          <w:rPr>
            <w:rFonts w:hint="eastAsia" w:ascii="Cambria Math" w:hAnsi="Cambria Math" w:eastAsia="宋体"/>
            <w:sz w:val="20"/>
            <w:szCs w:val="20"/>
            <w:lang w:val="en-US" w:eastAsia="zh-CN"/>
          </w:rPr>
          <m:t>×</m:t>
        </m:r>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T</m:t>
            </m:r>
            <m:ctrlPr>
              <w:rPr>
                <w:rFonts w:hint="eastAsia" w:ascii="Cambria Math" w:hAnsi="Cambria Math" w:eastAsia="宋体"/>
                <w:b/>
                <w:bCs/>
                <w:i/>
                <w:iCs/>
                <w:sz w:val="20"/>
                <w:szCs w:val="20"/>
                <w:lang w:val="en-US" w:eastAsia="zh-CN"/>
              </w:rPr>
            </m:ctrlPr>
          </m:e>
          <m:sub>
            <m:r>
              <m:rPr>
                <m:sty m:val="bi"/>
              </m:rPr>
              <w:rPr>
                <w:rFonts w:hint="default" w:ascii="Cambria Math" w:hAnsi="Cambria Math" w:eastAsia="宋体"/>
                <w:sz w:val="20"/>
                <w:szCs w:val="20"/>
                <w:lang w:val="en-US" w:eastAsia="zh-CN"/>
              </w:rPr>
              <m:t>c</m:t>
            </m:r>
            <m:ctrlPr>
              <w:rPr>
                <w:rFonts w:hint="eastAsia" w:ascii="Cambria Math" w:hAnsi="Cambria Math" w:eastAsia="宋体"/>
                <w:b/>
                <w:bCs/>
                <w:i/>
                <w:iCs/>
                <w:sz w:val="20"/>
                <w:szCs w:val="20"/>
                <w:lang w:val="en-US" w:eastAsia="zh-CN"/>
              </w:rPr>
            </m:ctrlPr>
          </m:sub>
        </m:sSub>
      </m:oMath>
      <w:r>
        <w:rPr>
          <w:rFonts w:hint="eastAsia" w:hAnsi="Cambria Math" w:eastAsia="宋体"/>
          <w:b/>
          <w:bCs/>
          <w:i/>
          <w:iCs/>
          <w:sz w:val="20"/>
          <w:szCs w:val="20"/>
          <w:lang w:val="en-US" w:eastAsia="zh-CN"/>
        </w:rPr>
        <w:t>, that:</w:t>
      </w:r>
    </w:p>
    <w:p w14:paraId="5E991C2E">
      <w:pPr>
        <w:numPr>
          <w:ilvl w:val="0"/>
          <w:numId w:val="5"/>
        </w:numPr>
        <w:overflowPunct w:val="0"/>
        <w:autoSpaceDE w:val="0"/>
        <w:autoSpaceDN w:val="0"/>
        <w:adjustRightInd w:val="0"/>
        <w:spacing w:after="120"/>
        <w:ind w:left="420" w:leftChars="0" w:hanging="420" w:firstLineChars="0"/>
        <w:jc w:val="both"/>
        <w:rPr>
          <w:rFonts w:hint="eastAsia" w:hAnsi="Cambria Math" w:eastAsia="宋体"/>
          <w:b/>
          <w:bCs/>
          <w:i/>
          <w:iCs/>
          <w:sz w:val="20"/>
          <w:szCs w:val="20"/>
          <w:lang w:val="en-US" w:eastAsia="zh-CN"/>
        </w:rPr>
      </w:pPr>
      <w:r>
        <w:rPr>
          <w:rFonts w:hint="eastAsia" w:hAnsi="Cambria Math" w:eastAsia="宋体"/>
          <w:b/>
          <w:bCs/>
          <w:i/>
          <w:iCs/>
          <w:sz w:val="20"/>
          <w:szCs w:val="20"/>
          <w:lang w:val="en-US" w:eastAsia="zh-CN"/>
        </w:rPr>
        <w:t>reference cell is the NES cell</w:t>
      </w:r>
    </w:p>
    <w:p w14:paraId="0D9515D4">
      <w:pPr>
        <w:numPr>
          <w:ilvl w:val="0"/>
          <w:numId w:val="5"/>
        </w:numPr>
        <w:overflowPunct w:val="0"/>
        <w:autoSpaceDE w:val="0"/>
        <w:autoSpaceDN w:val="0"/>
        <w:adjustRightInd w:val="0"/>
        <w:spacing w:after="120"/>
        <w:ind w:left="420" w:leftChars="0" w:hanging="420" w:firstLineChars="0"/>
        <w:jc w:val="both"/>
        <w:rPr>
          <w:rFonts w:hint="eastAsia" w:hAnsi="Cambria Math" w:eastAsia="宋体"/>
          <w:b/>
          <w:bCs/>
          <w:i/>
          <w:iCs/>
          <w:sz w:val="20"/>
          <w:szCs w:val="20"/>
          <w:lang w:val="en-US" w:eastAsia="zh-CN"/>
        </w:rPr>
      </w:pPr>
      <w:r>
        <w:rPr>
          <w:rFonts w:hint="eastAsia" w:hAnsi="Cambria Math" w:eastAsia="宋体"/>
          <w:b/>
          <w:bCs/>
          <w:i/>
          <w:iCs/>
          <w:sz w:val="20"/>
          <w:szCs w:val="20"/>
          <w:lang w:val="en-US" w:eastAsia="zh-CN"/>
        </w:rPr>
        <w:t>N</w:t>
      </w:r>
      <w:r>
        <w:rPr>
          <w:rFonts w:hint="eastAsia" w:hAnsi="Cambria Math" w:eastAsia="宋体"/>
          <w:b/>
          <w:bCs/>
          <w:i/>
          <w:iCs/>
          <w:sz w:val="20"/>
          <w:szCs w:val="20"/>
          <w:vertAlign w:val="subscript"/>
          <w:lang w:val="en-US" w:eastAsia="zh-CN"/>
        </w:rPr>
        <w:t>TA</w:t>
      </w:r>
      <w:r>
        <w:rPr>
          <w:rFonts w:hint="eastAsia" w:hAnsi="Cambria Math" w:eastAsia="宋体"/>
          <w:b/>
          <w:bCs/>
          <w:i/>
          <w:iCs/>
          <w:sz w:val="20"/>
          <w:szCs w:val="20"/>
          <w:lang w:val="en-US" w:eastAsia="zh-CN"/>
        </w:rPr>
        <w:t xml:space="preserve"> for UL-WUS is defined as 0</w:t>
      </w:r>
    </w:p>
    <w:p w14:paraId="6A13BC99">
      <w:pPr>
        <w:numPr>
          <w:ilvl w:val="0"/>
          <w:numId w:val="5"/>
        </w:numPr>
        <w:overflowPunct w:val="0"/>
        <w:autoSpaceDE w:val="0"/>
        <w:autoSpaceDN w:val="0"/>
        <w:adjustRightInd w:val="0"/>
        <w:spacing w:after="120"/>
        <w:ind w:left="420" w:leftChars="0" w:hanging="420" w:firstLineChars="0"/>
        <w:jc w:val="both"/>
        <w:rPr>
          <w:rFonts w:hint="default" w:eastAsia="宋体"/>
          <w:sz w:val="20"/>
          <w:szCs w:val="20"/>
          <w:lang w:val="en-US" w:eastAsia="zh-CN"/>
        </w:rPr>
      </w:pPr>
      <w:r>
        <w:rPr>
          <w:b/>
          <w:bCs/>
          <w:i/>
          <w:iCs/>
          <w:position w:val="-10"/>
          <w:sz w:val="20"/>
          <w:szCs w:val="20"/>
          <w:lang w:val="en-US" w:eastAsia="zh-CN"/>
        </w:rPr>
        <w:drawing>
          <wp:inline distT="0" distB="0" distL="0" distR="0">
            <wp:extent cx="494665" cy="187960"/>
            <wp:effectExtent l="0" t="0" r="635" b="190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b/>
          <w:bCs/>
          <w:i/>
          <w:iCs/>
          <w:sz w:val="20"/>
          <w:szCs w:val="20"/>
          <w:lang w:val="en-US" w:eastAsia="zh-CN"/>
        </w:rPr>
        <w:t xml:space="preserve">is </w:t>
      </w:r>
      <w:r>
        <w:rPr>
          <w:b/>
          <w:bCs/>
          <w:i/>
          <w:iCs/>
          <w:sz w:val="20"/>
          <w:szCs w:val="20"/>
        </w:rPr>
        <w:t>the n-TimingAdvanceOffset</w:t>
      </w:r>
      <w:r>
        <w:rPr>
          <w:rFonts w:hint="eastAsia"/>
          <w:b/>
          <w:bCs/>
          <w:i/>
          <w:iCs/>
          <w:sz w:val="20"/>
          <w:szCs w:val="20"/>
          <w:lang w:val="en-US" w:eastAsia="zh-CN"/>
        </w:rPr>
        <w:t xml:space="preserve"> from UL-WUS configuration if configured, if not, follow the default value defined in Table 7.1.2-2 TS 38.133</w:t>
      </w:r>
    </w:p>
    <w:p w14:paraId="3C73F735">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r>
        <w:rPr>
          <w:rFonts w:hint="eastAsia" w:ascii="Times New Roman" w:hAnsi="Times New Roman"/>
          <w:b w:val="0"/>
          <w:bCs w:val="0"/>
          <w:kern w:val="0"/>
          <w:sz w:val="36"/>
          <w:szCs w:val="36"/>
          <w:lang w:val="en-US" w:eastAsia="zh-CN"/>
        </w:rPr>
        <w:t>SSB A</w:t>
      </w:r>
      <w:r>
        <w:rPr>
          <w:rFonts w:hint="eastAsia" w:ascii="Times New Roman" w:hAnsi="Times New Roman"/>
          <w:b w:val="0"/>
          <w:bCs w:val="0"/>
          <w:kern w:val="0"/>
          <w:sz w:val="36"/>
          <w:szCs w:val="36"/>
          <w:lang w:val="en-GB"/>
        </w:rPr>
        <w:t>daptation</w:t>
      </w:r>
    </w:p>
    <w:p w14:paraId="46F3812E">
      <w:pPr>
        <w:rPr>
          <w:b/>
          <w:i/>
          <w:iCs/>
          <w:sz w:val="20"/>
          <w:szCs w:val="20"/>
          <w:u w:val="single"/>
          <w:lang w:eastAsia="ko-KR"/>
        </w:rPr>
      </w:pPr>
      <w:r>
        <w:rPr>
          <w:b/>
          <w:i/>
          <w:iCs/>
          <w:sz w:val="20"/>
          <w:szCs w:val="20"/>
          <w:u w:val="single"/>
          <w:lang w:eastAsia="ko-KR"/>
        </w:rPr>
        <w:t>Issue 1-2-1: L1 requirements at transition</w:t>
      </w:r>
    </w:p>
    <w:p w14:paraId="4701AA52">
      <w:pPr>
        <w:rPr>
          <w:i/>
          <w:iCs/>
          <w:sz w:val="20"/>
          <w:szCs w:val="20"/>
          <w:lang w:eastAsia="ko-KR"/>
        </w:rPr>
      </w:pPr>
      <w:r>
        <w:rPr>
          <w:i/>
          <w:iCs/>
          <w:sz w:val="20"/>
          <w:szCs w:val="20"/>
          <w:lang w:eastAsia="ko-KR"/>
        </w:rPr>
        <w:t>Agreement:</w:t>
      </w:r>
    </w:p>
    <w:p w14:paraId="7718882D">
      <w:pPr>
        <w:pStyle w:val="76"/>
        <w:numPr>
          <w:ilvl w:val="1"/>
          <w:numId w:val="6"/>
        </w:numPr>
        <w:overflowPunct/>
        <w:autoSpaceDE/>
        <w:autoSpaceDN/>
        <w:adjustRightInd/>
        <w:spacing w:after="120"/>
        <w:ind w:firstLineChars="0"/>
        <w:textAlignment w:val="auto"/>
        <w:rPr>
          <w:rFonts w:eastAsia="宋体"/>
          <w:i/>
          <w:iCs/>
          <w:sz w:val="20"/>
          <w:szCs w:val="20"/>
          <w:lang w:eastAsia="zh-CN"/>
        </w:rPr>
      </w:pPr>
      <w:r>
        <w:rPr>
          <w:rFonts w:eastAsia="宋体"/>
          <w:i/>
          <w:iCs/>
          <w:sz w:val="20"/>
          <w:szCs w:val="20"/>
          <w:lang w:eastAsia="zh-CN"/>
        </w:rPr>
        <w:t>L1 evaluation/measurement period is the maximum of the period corresponding to the SSB before and after adaptation.</w:t>
      </w:r>
    </w:p>
    <w:p w14:paraId="67B6E736">
      <w:pPr>
        <w:pStyle w:val="76"/>
        <w:numPr>
          <w:ilvl w:val="2"/>
          <w:numId w:val="6"/>
        </w:numPr>
        <w:overflowPunct/>
        <w:autoSpaceDE/>
        <w:autoSpaceDN/>
        <w:adjustRightInd/>
        <w:spacing w:after="120"/>
        <w:ind w:firstLineChars="0"/>
        <w:textAlignment w:val="auto"/>
        <w:rPr>
          <w:rFonts w:eastAsia="宋体"/>
          <w:i/>
          <w:iCs/>
          <w:sz w:val="20"/>
          <w:szCs w:val="20"/>
          <w:lang w:eastAsia="zh-CN"/>
        </w:rPr>
      </w:pPr>
      <w:r>
        <w:rPr>
          <w:rFonts w:eastAsia="宋体"/>
          <w:i/>
          <w:iCs/>
          <w:sz w:val="20"/>
          <w:szCs w:val="20"/>
          <w:lang w:eastAsia="zh-CN"/>
        </w:rPr>
        <w:t>FFS the applicable L1 requirements.</w:t>
      </w:r>
    </w:p>
    <w:p w14:paraId="652A545F">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auto"/>
        <w:rPr>
          <w:rFonts w:hint="eastAsia" w:eastAsia="宋体"/>
          <w:sz w:val="20"/>
          <w:szCs w:val="20"/>
          <w:lang w:val="en-US" w:eastAsia="zh-CN"/>
        </w:rPr>
      </w:pPr>
      <w:r>
        <w:rPr>
          <w:rFonts w:hint="eastAsia" w:eastAsia="宋体"/>
          <w:sz w:val="20"/>
          <w:szCs w:val="20"/>
          <w:lang w:val="en-US" w:eastAsia="zh-CN"/>
        </w:rPr>
        <w:t>For active SCell in RRC CONNENCTED mode, the transition period will be applied to BFD, L1-RSRP and L1-SINR measurement of serving cell.</w:t>
      </w:r>
    </w:p>
    <w:p w14:paraId="19F00E5A">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 The L1 transition requirements will be applied to BFD, L1-RSRP and L1-SINR measurement of serving cell.</w:t>
      </w:r>
    </w:p>
    <w:p w14:paraId="18EEA022">
      <w:pPr>
        <w:overflowPunct w:val="0"/>
        <w:autoSpaceDE w:val="0"/>
        <w:autoSpaceDN w:val="0"/>
        <w:adjustRightInd w:val="0"/>
        <w:spacing w:after="120"/>
        <w:jc w:val="both"/>
        <w:rPr>
          <w:rFonts w:hint="eastAsia"/>
          <w:b/>
          <w:bCs/>
          <w:i/>
          <w:iCs/>
          <w:sz w:val="20"/>
          <w:szCs w:val="20"/>
          <w:lang w:val="en-US" w:eastAsia="zh-CN"/>
        </w:rPr>
      </w:pPr>
    </w:p>
    <w:p w14:paraId="0C3189D5">
      <w:pPr>
        <w:rPr>
          <w:b/>
          <w:i/>
          <w:iCs/>
          <w:color w:val="auto"/>
          <w:sz w:val="20"/>
          <w:szCs w:val="20"/>
          <w:u w:val="single"/>
          <w:lang w:eastAsia="ko-KR"/>
        </w:rPr>
      </w:pPr>
      <w:r>
        <w:rPr>
          <w:b/>
          <w:i/>
          <w:iCs/>
          <w:color w:val="auto"/>
          <w:sz w:val="20"/>
          <w:szCs w:val="20"/>
          <w:u w:val="single"/>
          <w:lang w:eastAsia="ko-KR"/>
        </w:rPr>
        <w:t>Issue 1-4-1: SCell activation requirement for SSB adaptation</w:t>
      </w:r>
    </w:p>
    <w:p w14:paraId="63816E58">
      <w:pPr>
        <w:pStyle w:val="76"/>
        <w:numPr>
          <w:ilvl w:val="0"/>
          <w:numId w:val="6"/>
        </w:numPr>
        <w:overflowPunct/>
        <w:autoSpaceDE/>
        <w:autoSpaceDN/>
        <w:adjustRightInd/>
        <w:spacing w:after="120"/>
        <w:ind w:left="720" w:firstLineChars="0"/>
        <w:textAlignment w:val="auto"/>
        <w:rPr>
          <w:rFonts w:eastAsia="宋体"/>
          <w:i/>
          <w:iCs/>
          <w:color w:val="auto"/>
          <w:sz w:val="20"/>
          <w:szCs w:val="20"/>
          <w:lang w:eastAsia="zh-CN"/>
        </w:rPr>
      </w:pPr>
      <w:r>
        <w:rPr>
          <w:rFonts w:eastAsia="宋体"/>
          <w:i/>
          <w:iCs/>
          <w:color w:val="auto"/>
          <w:sz w:val="20"/>
          <w:szCs w:val="20"/>
          <w:lang w:eastAsia="zh-CN"/>
        </w:rPr>
        <w:t>Proposals</w:t>
      </w:r>
    </w:p>
    <w:p w14:paraId="16649D22">
      <w:pPr>
        <w:pStyle w:val="76"/>
        <w:numPr>
          <w:ilvl w:val="1"/>
          <w:numId w:val="6"/>
        </w:numPr>
        <w:overflowPunct/>
        <w:autoSpaceDE/>
        <w:autoSpaceDN/>
        <w:adjustRightInd/>
        <w:spacing w:after="120"/>
        <w:ind w:left="1440" w:firstLineChars="0"/>
        <w:textAlignment w:val="auto"/>
        <w:rPr>
          <w:i/>
          <w:iCs/>
          <w:color w:val="auto"/>
          <w:sz w:val="20"/>
          <w:szCs w:val="20"/>
          <w:lang w:eastAsia="zh-CN"/>
        </w:rPr>
      </w:pPr>
      <w:r>
        <w:rPr>
          <w:i/>
          <w:iCs/>
          <w:color w:val="auto"/>
          <w:sz w:val="20"/>
          <w:szCs w:val="20"/>
          <w:lang w:eastAsia="zh-CN"/>
        </w:rPr>
        <w:t>Option 1: RAN4 not to define SSB adaptation requirement during SCell activation, TCI state switching (CATT, Ericsson, Vivo, Samsung, OPPO)</w:t>
      </w:r>
    </w:p>
    <w:p w14:paraId="7773081F">
      <w:pPr>
        <w:pStyle w:val="76"/>
        <w:numPr>
          <w:ilvl w:val="2"/>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Option 1: No impact is expected for SCell activation and TCI state switching due to SSB adaptation. (CATT)</w:t>
      </w:r>
    </w:p>
    <w:p w14:paraId="79D7F34E">
      <w:pPr>
        <w:pStyle w:val="76"/>
        <w:numPr>
          <w:ilvl w:val="2"/>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Option 1a: RAN4 not to define SSB adaptation requirement during SCell activation, TCI state switching. (Ericsson)</w:t>
      </w:r>
    </w:p>
    <w:p w14:paraId="41924EAB">
      <w:pPr>
        <w:pStyle w:val="76"/>
        <w:numPr>
          <w:ilvl w:val="2"/>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Option 1b: RAN4 to follow legacy rule that no RRM requirement is defined if the adaptation of SSB periodicity happens during the time UE performs TCI switch or SCell activation. (Vivo)</w:t>
      </w:r>
    </w:p>
    <w:p w14:paraId="25894F41">
      <w:pPr>
        <w:pStyle w:val="76"/>
        <w:numPr>
          <w:ilvl w:val="2"/>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Option 1c: No need to define RRM requirements for the case: UE receive the adaptation indication during SCell activation procedure but after MAC-CE activation command reception. (Samsung)</w:t>
      </w:r>
    </w:p>
    <w:p w14:paraId="76E3B25F">
      <w:pPr>
        <w:pStyle w:val="76"/>
        <w:numPr>
          <w:ilvl w:val="2"/>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Option 1d: RAN4 not to define L3 measurement based on SMTC periodicity before and during SCell activation if OD-SSB is triggered before the complete of SCell activation. (Oppo)</w:t>
      </w:r>
    </w:p>
    <w:p w14:paraId="3B3B7E00">
      <w:pPr>
        <w:pStyle w:val="76"/>
        <w:numPr>
          <w:ilvl w:val="1"/>
          <w:numId w:val="6"/>
        </w:numPr>
        <w:overflowPunct/>
        <w:autoSpaceDE/>
        <w:autoSpaceDN/>
        <w:adjustRightInd/>
        <w:spacing w:after="120"/>
        <w:ind w:left="1440" w:firstLineChars="0"/>
        <w:textAlignment w:val="auto"/>
        <w:rPr>
          <w:i/>
          <w:iCs/>
          <w:color w:val="auto"/>
          <w:sz w:val="20"/>
          <w:szCs w:val="20"/>
          <w:lang w:eastAsia="zh-CN"/>
        </w:rPr>
      </w:pPr>
      <w:r>
        <w:rPr>
          <w:i/>
          <w:iCs/>
          <w:color w:val="auto"/>
          <w:sz w:val="20"/>
          <w:szCs w:val="20"/>
          <w:lang w:eastAsia="zh-CN"/>
        </w:rPr>
        <w:t>Option 2a: (CTC)</w:t>
      </w:r>
    </w:p>
    <w:p w14:paraId="560BA44A">
      <w:pPr>
        <w:pStyle w:val="76"/>
        <w:numPr>
          <w:ilvl w:val="2"/>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After SSB adaptation, for L1 measurement during SCell activation, UE shall perform SCell activation based on new SSB configurations, e.g. new SSB periodicity (CTC)</w:t>
      </w:r>
    </w:p>
    <w:p w14:paraId="44208B6D">
      <w:pPr>
        <w:pStyle w:val="76"/>
        <w:numPr>
          <w:ilvl w:val="2"/>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After SSB adaptation, for L3 measurement during SCell activation, wait for the conclusions on SMTC impact from other WGs. (CTC)</w:t>
      </w:r>
    </w:p>
    <w:p w14:paraId="79DA238E">
      <w:pPr>
        <w:pStyle w:val="76"/>
        <w:numPr>
          <w:ilvl w:val="1"/>
          <w:numId w:val="6"/>
        </w:numPr>
        <w:overflowPunct/>
        <w:autoSpaceDE/>
        <w:autoSpaceDN/>
        <w:adjustRightInd/>
        <w:spacing w:after="120"/>
        <w:ind w:left="1440" w:firstLineChars="0"/>
        <w:textAlignment w:val="auto"/>
        <w:rPr>
          <w:i/>
          <w:iCs/>
          <w:color w:val="auto"/>
          <w:sz w:val="20"/>
          <w:szCs w:val="20"/>
          <w:lang w:eastAsia="zh-CN"/>
        </w:rPr>
      </w:pPr>
      <w:r>
        <w:rPr>
          <w:i/>
          <w:iCs/>
          <w:color w:val="auto"/>
          <w:sz w:val="20"/>
          <w:szCs w:val="20"/>
          <w:lang w:eastAsia="zh-CN"/>
        </w:rPr>
        <w:t>Option 2b: (Huawei)</w:t>
      </w:r>
    </w:p>
    <w:p w14:paraId="01BEDEAC">
      <w:pPr>
        <w:pStyle w:val="76"/>
        <w:numPr>
          <w:ilvl w:val="2"/>
          <w:numId w:val="6"/>
        </w:numPr>
        <w:spacing w:after="120"/>
        <w:ind w:firstLineChars="0"/>
        <w:rPr>
          <w:i/>
          <w:iCs/>
          <w:color w:val="auto"/>
          <w:sz w:val="20"/>
          <w:szCs w:val="20"/>
          <w:lang w:eastAsia="zh-CN"/>
        </w:rPr>
      </w:pPr>
      <w:r>
        <w:rPr>
          <w:i/>
          <w:iCs/>
          <w:color w:val="auto"/>
          <w:sz w:val="20"/>
          <w:szCs w:val="20"/>
          <w:lang w:eastAsia="zh-CN"/>
        </w:rPr>
        <w:t>UE shall use SSB after adaption for SCell activation regardless of the SMTC configuration when SSB adaption happens before or at the same time as SCell activation. Deprioritize the requirements when SSB adaptation happens during SCell activation.</w:t>
      </w:r>
    </w:p>
    <w:p w14:paraId="08D40D93">
      <w:pPr>
        <w:pStyle w:val="76"/>
        <w:numPr>
          <w:ilvl w:val="2"/>
          <w:numId w:val="6"/>
        </w:numPr>
        <w:spacing w:after="120"/>
        <w:ind w:firstLineChars="0"/>
        <w:rPr>
          <w:i/>
          <w:iCs/>
          <w:color w:val="auto"/>
          <w:sz w:val="20"/>
          <w:szCs w:val="20"/>
          <w:lang w:eastAsia="zh-CN"/>
        </w:rPr>
      </w:pPr>
      <w:r>
        <w:rPr>
          <w:i/>
          <w:iCs/>
          <w:color w:val="auto"/>
          <w:sz w:val="20"/>
          <w:szCs w:val="20"/>
          <w:lang w:eastAsia="zh-CN"/>
        </w:rPr>
        <w:t>Detailed triggering on SSB adaptation depends on further RAN1 discussion.</w:t>
      </w:r>
    </w:p>
    <w:p w14:paraId="7CFC9904">
      <w:pPr>
        <w:pStyle w:val="76"/>
        <w:numPr>
          <w:ilvl w:val="1"/>
          <w:numId w:val="6"/>
        </w:numPr>
        <w:overflowPunct/>
        <w:autoSpaceDE/>
        <w:autoSpaceDN/>
        <w:adjustRightInd/>
        <w:spacing w:after="120"/>
        <w:ind w:left="1440" w:firstLineChars="0"/>
        <w:textAlignment w:val="auto"/>
        <w:rPr>
          <w:i/>
          <w:iCs/>
          <w:color w:val="auto"/>
          <w:sz w:val="20"/>
          <w:szCs w:val="20"/>
          <w:lang w:eastAsia="zh-CN"/>
        </w:rPr>
      </w:pPr>
      <w:r>
        <w:rPr>
          <w:i/>
          <w:iCs/>
          <w:color w:val="auto"/>
          <w:sz w:val="20"/>
          <w:szCs w:val="20"/>
          <w:lang w:eastAsia="zh-CN"/>
        </w:rPr>
        <w:t xml:space="preserve">Option 2c: RAN4 to </w:t>
      </w:r>
      <w:r>
        <w:rPr>
          <w:rFonts w:hint="eastAsia"/>
          <w:i/>
          <w:iCs/>
          <w:color w:val="auto"/>
          <w:sz w:val="20"/>
          <w:szCs w:val="20"/>
          <w:lang w:eastAsia="zh-CN"/>
        </w:rPr>
        <w:t>study</w:t>
      </w:r>
      <w:r>
        <w:rPr>
          <w:i/>
          <w:iCs/>
          <w:color w:val="auto"/>
          <w:sz w:val="20"/>
          <w:szCs w:val="20"/>
          <w:lang w:eastAsia="zh-CN"/>
        </w:rPr>
        <w:t xml:space="preserve"> the SCell activation and deactivation delay</w:t>
      </w:r>
      <w:r>
        <w:rPr>
          <w:rFonts w:hint="eastAsia"/>
          <w:i/>
          <w:iCs/>
          <w:color w:val="auto"/>
          <w:sz w:val="20"/>
          <w:szCs w:val="20"/>
          <w:lang w:eastAsia="zh-CN"/>
        </w:rPr>
        <w:t xml:space="preserve"> impact.</w:t>
      </w:r>
      <w:r>
        <w:rPr>
          <w:i/>
          <w:iCs/>
          <w:color w:val="auto"/>
          <w:sz w:val="20"/>
          <w:szCs w:val="20"/>
          <w:lang w:eastAsia="zh-CN"/>
        </w:rPr>
        <w:t xml:space="preserve"> (Samsung)</w:t>
      </w:r>
    </w:p>
    <w:p w14:paraId="01873B8C">
      <w:pPr>
        <w:pStyle w:val="76"/>
        <w:numPr>
          <w:ilvl w:val="2"/>
          <w:numId w:val="6"/>
        </w:numPr>
        <w:ind w:firstLineChars="0"/>
        <w:rPr>
          <w:i/>
          <w:iCs/>
          <w:color w:val="auto"/>
          <w:sz w:val="20"/>
          <w:szCs w:val="20"/>
          <w:lang w:eastAsia="zh-CN"/>
        </w:rPr>
      </w:pPr>
      <w:r>
        <w:rPr>
          <w:i/>
          <w:iCs/>
          <w:color w:val="auto"/>
          <w:sz w:val="20"/>
          <w:szCs w:val="20"/>
          <w:lang w:eastAsia="zh-CN"/>
        </w:rPr>
        <w:t>RAN4 to focus on MAC CE based SCell activation case as starting point for SSB adaptation SCell operation</w:t>
      </w:r>
    </w:p>
    <w:p w14:paraId="3C041E89">
      <w:pPr>
        <w:pStyle w:val="76"/>
        <w:numPr>
          <w:ilvl w:val="2"/>
          <w:numId w:val="6"/>
        </w:numPr>
        <w:overflowPunct/>
        <w:autoSpaceDE/>
        <w:autoSpaceDN/>
        <w:adjustRightInd/>
        <w:spacing w:after="120"/>
        <w:ind w:firstLineChars="0"/>
        <w:textAlignment w:val="auto"/>
        <w:rPr>
          <w:i/>
          <w:iCs/>
          <w:color w:val="auto"/>
          <w:sz w:val="20"/>
          <w:szCs w:val="20"/>
          <w:lang w:eastAsia="zh-CN"/>
        </w:rPr>
      </w:pPr>
      <w:r>
        <w:rPr>
          <w:rFonts w:hint="eastAsia"/>
          <w:i/>
          <w:iCs/>
          <w:color w:val="auto"/>
          <w:sz w:val="20"/>
          <w:szCs w:val="20"/>
          <w:lang w:eastAsia="zh-CN"/>
        </w:rPr>
        <w:t>C</w:t>
      </w:r>
      <w:r>
        <w:rPr>
          <w:i/>
          <w:iCs/>
          <w:color w:val="auto"/>
          <w:sz w:val="20"/>
          <w:szCs w:val="20"/>
          <w:lang w:eastAsia="zh-CN"/>
        </w:rPr>
        <w:t>ombine the RAN1 conclusions of on-demand SSB and SSB adaptation to define the corresponding SCell requirements</w:t>
      </w:r>
    </w:p>
    <w:p w14:paraId="05143BDA">
      <w:pPr>
        <w:pStyle w:val="76"/>
        <w:numPr>
          <w:ilvl w:val="0"/>
          <w:numId w:val="6"/>
        </w:numPr>
        <w:overflowPunct/>
        <w:autoSpaceDE/>
        <w:autoSpaceDN/>
        <w:adjustRightInd/>
        <w:spacing w:after="120"/>
        <w:ind w:left="720" w:firstLineChars="0"/>
        <w:textAlignment w:val="auto"/>
        <w:rPr>
          <w:rFonts w:eastAsia="宋体"/>
          <w:i/>
          <w:iCs/>
          <w:color w:val="auto"/>
          <w:sz w:val="20"/>
          <w:szCs w:val="20"/>
          <w:lang w:eastAsia="zh-CN"/>
        </w:rPr>
      </w:pPr>
      <w:r>
        <w:rPr>
          <w:rFonts w:eastAsia="宋体"/>
          <w:i/>
          <w:iCs/>
          <w:color w:val="auto"/>
          <w:sz w:val="20"/>
          <w:szCs w:val="20"/>
          <w:lang w:eastAsia="zh-CN"/>
        </w:rPr>
        <w:t>Recommended WF:</w:t>
      </w:r>
    </w:p>
    <w:p w14:paraId="7448BD1C">
      <w:pPr>
        <w:pStyle w:val="76"/>
        <w:numPr>
          <w:ilvl w:val="1"/>
          <w:numId w:val="6"/>
        </w:numPr>
        <w:overflowPunct/>
        <w:autoSpaceDE/>
        <w:autoSpaceDN/>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No requirements when SSB adaptation happens during SCell activation.</w:t>
      </w:r>
    </w:p>
    <w:p w14:paraId="47AFC0E6">
      <w:pPr>
        <w:pStyle w:val="76"/>
        <w:numPr>
          <w:ilvl w:val="1"/>
          <w:numId w:val="6"/>
        </w:numPr>
        <w:overflowPunct/>
        <w:autoSpaceDE/>
        <w:autoSpaceDN/>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 xml:space="preserve">FFS the requirements impact when SSB adaptation happen before </w:t>
      </w:r>
      <w:r>
        <w:rPr>
          <w:i/>
          <w:iCs/>
          <w:color w:val="auto"/>
          <w:sz w:val="20"/>
          <w:szCs w:val="20"/>
          <w:lang w:eastAsia="zh-CN"/>
        </w:rPr>
        <w:t>or at the same time as SCell activation considering.</w:t>
      </w:r>
    </w:p>
    <w:p w14:paraId="258BCDBD">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auto"/>
        <w:rPr>
          <w:rFonts w:hint="eastAsia" w:eastAsia="宋体"/>
          <w:sz w:val="20"/>
          <w:szCs w:val="20"/>
          <w:lang w:val="en-US" w:eastAsia="zh-CN"/>
        </w:rPr>
      </w:pPr>
      <w:r>
        <w:rPr>
          <w:rFonts w:hint="eastAsia" w:eastAsia="宋体"/>
          <w:sz w:val="20"/>
          <w:szCs w:val="20"/>
          <w:lang w:val="en-US" w:eastAsia="zh-CN"/>
        </w:rPr>
        <w:t>Considering OD-SSB methodology has been introduced, we don</w:t>
      </w:r>
      <w:r>
        <w:rPr>
          <w:rFonts w:hint="default" w:eastAsia="宋体"/>
          <w:sz w:val="20"/>
          <w:szCs w:val="20"/>
          <w:lang w:val="en-US" w:eastAsia="zh-CN"/>
        </w:rPr>
        <w:t>’</w:t>
      </w:r>
      <w:r>
        <w:rPr>
          <w:rFonts w:hint="eastAsia" w:eastAsia="宋体"/>
          <w:sz w:val="20"/>
          <w:szCs w:val="20"/>
          <w:lang w:val="en-US" w:eastAsia="zh-CN"/>
        </w:rPr>
        <w:t>t see the additional gain to further perform SSB adaptation during SCell activation.</w:t>
      </w:r>
    </w:p>
    <w:p w14:paraId="60082C31">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 No requirement for the case that SSB adaptation during SCell activation.</w:t>
      </w:r>
    </w:p>
    <w:p w14:paraId="0FD98A49">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auto"/>
        <w:rPr>
          <w:rFonts w:hint="eastAsia" w:eastAsia="宋体"/>
          <w:sz w:val="20"/>
          <w:szCs w:val="20"/>
          <w:lang w:val="en-US" w:eastAsia="zh-CN"/>
        </w:rPr>
      </w:pPr>
      <w:r>
        <w:rPr>
          <w:rFonts w:hint="eastAsia" w:eastAsia="宋体"/>
          <w:sz w:val="20"/>
          <w:szCs w:val="20"/>
          <w:lang w:val="en-US" w:eastAsia="zh-CN"/>
        </w:rPr>
        <w:t>If the SSB adaptation happens before the SCell activation, due to the deactivated SCell measurement follow the measCycleSCell, no need to define the transition requirement.</w:t>
      </w:r>
    </w:p>
    <w:p w14:paraId="2FD077F5">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4: Legacy requirement can be reused for the case that SSB adaptation before SCell activation.</w:t>
      </w:r>
    </w:p>
    <w:p w14:paraId="4A315416">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auto"/>
        <w:rPr>
          <w:rFonts w:hint="eastAsia" w:eastAsia="宋体"/>
          <w:sz w:val="20"/>
          <w:szCs w:val="20"/>
          <w:lang w:val="en-US" w:eastAsia="zh-CN"/>
        </w:rPr>
      </w:pPr>
      <w:r>
        <w:rPr>
          <w:rFonts w:hint="eastAsia" w:eastAsia="宋体"/>
          <w:sz w:val="20"/>
          <w:szCs w:val="20"/>
          <w:lang w:val="en-US" w:eastAsia="zh-CN"/>
        </w:rPr>
        <w:t>If the SSB adaptation happens at the same time as SCell activation, UE shall use the adapted SSB for SCell activation. Meanwhile, regarding whether the SMTC will be adapted or not, RAN4 should wait for LS reply.</w:t>
      </w:r>
    </w:p>
    <w:p w14:paraId="0BAF8225">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5: UE shall use the adapted SSB for SCell activation for the case of SSB adaptation happens at the same time as SCell activation.</w:t>
      </w:r>
    </w:p>
    <w:p w14:paraId="7F609B28">
      <w:pPr>
        <w:rPr>
          <w:i/>
          <w:iCs/>
          <w:color w:val="auto"/>
          <w:sz w:val="20"/>
          <w:szCs w:val="20"/>
          <w:lang w:eastAsia="zh-CN"/>
        </w:rPr>
      </w:pPr>
    </w:p>
    <w:p w14:paraId="382D4305">
      <w:pPr>
        <w:rPr>
          <w:b/>
          <w:i/>
          <w:iCs/>
          <w:color w:val="auto"/>
          <w:sz w:val="20"/>
          <w:szCs w:val="20"/>
          <w:u w:val="single"/>
          <w:lang w:eastAsia="ko-KR"/>
        </w:rPr>
      </w:pPr>
      <w:r>
        <w:rPr>
          <w:b/>
          <w:i/>
          <w:iCs/>
          <w:color w:val="auto"/>
          <w:sz w:val="20"/>
          <w:szCs w:val="20"/>
          <w:u w:val="single"/>
          <w:lang w:eastAsia="ko-KR"/>
        </w:rPr>
        <w:t>Issue 1-4-2: TCI state switching requirements for SSB adaptation</w:t>
      </w:r>
    </w:p>
    <w:p w14:paraId="3B70E977">
      <w:pPr>
        <w:rPr>
          <w:b/>
          <w:i/>
          <w:iCs/>
          <w:color w:val="auto"/>
          <w:sz w:val="20"/>
          <w:szCs w:val="20"/>
          <w:u w:val="single"/>
          <w:lang w:eastAsia="ko-KR"/>
        </w:rPr>
      </w:pPr>
    </w:p>
    <w:p w14:paraId="75B93B1E">
      <w:pPr>
        <w:pStyle w:val="76"/>
        <w:numPr>
          <w:ilvl w:val="0"/>
          <w:numId w:val="6"/>
        </w:numPr>
        <w:overflowPunct/>
        <w:autoSpaceDE/>
        <w:autoSpaceDN/>
        <w:adjustRightInd/>
        <w:spacing w:after="120"/>
        <w:ind w:left="720" w:firstLineChars="0"/>
        <w:textAlignment w:val="auto"/>
        <w:rPr>
          <w:rFonts w:eastAsia="宋体"/>
          <w:i/>
          <w:iCs/>
          <w:color w:val="auto"/>
          <w:sz w:val="20"/>
          <w:szCs w:val="20"/>
          <w:lang w:eastAsia="zh-CN"/>
        </w:rPr>
      </w:pPr>
      <w:r>
        <w:rPr>
          <w:rFonts w:eastAsia="宋体"/>
          <w:i/>
          <w:iCs/>
          <w:color w:val="auto"/>
          <w:sz w:val="20"/>
          <w:szCs w:val="20"/>
          <w:lang w:eastAsia="zh-CN"/>
        </w:rPr>
        <w:t>Proposals</w:t>
      </w:r>
    </w:p>
    <w:p w14:paraId="5E1DD346">
      <w:pPr>
        <w:pStyle w:val="76"/>
        <w:numPr>
          <w:ilvl w:val="1"/>
          <w:numId w:val="6"/>
        </w:numPr>
        <w:overflowPunct/>
        <w:autoSpaceDE/>
        <w:autoSpaceDN/>
        <w:adjustRightInd/>
        <w:spacing w:after="120"/>
        <w:ind w:left="1440" w:firstLineChars="0"/>
        <w:textAlignment w:val="auto"/>
        <w:rPr>
          <w:i/>
          <w:iCs/>
          <w:color w:val="auto"/>
          <w:sz w:val="20"/>
          <w:szCs w:val="20"/>
          <w:lang w:eastAsia="zh-CN"/>
        </w:rPr>
      </w:pPr>
      <w:r>
        <w:rPr>
          <w:i/>
          <w:iCs/>
          <w:color w:val="auto"/>
          <w:sz w:val="20"/>
          <w:szCs w:val="20"/>
          <w:lang w:eastAsia="zh-CN"/>
        </w:rPr>
        <w:t>Option 1: No impact is expected for SCell activation and TCI state switching due to SSB adaptation</w:t>
      </w:r>
      <w:r>
        <w:rPr>
          <w:rFonts w:hint="eastAsia"/>
          <w:i/>
          <w:iCs/>
          <w:color w:val="auto"/>
          <w:sz w:val="20"/>
          <w:szCs w:val="20"/>
          <w:lang w:eastAsia="zh-CN"/>
        </w:rPr>
        <w:t>.</w:t>
      </w:r>
      <w:r>
        <w:rPr>
          <w:i/>
          <w:iCs/>
          <w:color w:val="auto"/>
          <w:sz w:val="20"/>
          <w:szCs w:val="20"/>
          <w:lang w:eastAsia="zh-CN"/>
        </w:rPr>
        <w:t xml:space="preserve"> (CATT)</w:t>
      </w:r>
    </w:p>
    <w:p w14:paraId="37D27F6F">
      <w:pPr>
        <w:pStyle w:val="76"/>
        <w:numPr>
          <w:ilvl w:val="2"/>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Option 1a: RAN4 not to define SSB adaptation requirement during SCell activation, TCI state switching. (Ericsson)</w:t>
      </w:r>
    </w:p>
    <w:p w14:paraId="56528A80">
      <w:pPr>
        <w:pStyle w:val="76"/>
        <w:numPr>
          <w:ilvl w:val="2"/>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Option 1b: RAN4 to follow legacy rule that no RRM requirement is defined if the adaptation of SSB periodicity happens during the time UE performs TCI switch or SCell activation. (Vivo)</w:t>
      </w:r>
    </w:p>
    <w:p w14:paraId="4F1699D3">
      <w:pPr>
        <w:pStyle w:val="76"/>
        <w:numPr>
          <w:ilvl w:val="1"/>
          <w:numId w:val="6"/>
        </w:numPr>
        <w:overflowPunct/>
        <w:autoSpaceDE/>
        <w:autoSpaceDN/>
        <w:adjustRightInd/>
        <w:spacing w:after="120"/>
        <w:ind w:firstLineChars="0"/>
        <w:textAlignment w:val="auto"/>
        <w:rPr>
          <w:i/>
          <w:iCs/>
          <w:color w:val="auto"/>
          <w:sz w:val="20"/>
          <w:szCs w:val="20"/>
          <w:lang w:eastAsia="zh-CN"/>
        </w:rPr>
      </w:pPr>
      <w:r>
        <w:rPr>
          <w:i/>
          <w:iCs/>
          <w:color w:val="auto"/>
          <w:sz w:val="20"/>
          <w:szCs w:val="20"/>
          <w:lang w:eastAsia="zh-CN"/>
        </w:rPr>
        <w:t>Option 2: RAN4 to consider the L1 measurement impact from SSB periodicity adaptation both to L1-RSRP measurement delay for active SCells for BFD and CBD, and to TCI state switching delay. (Nokia)</w:t>
      </w:r>
    </w:p>
    <w:p w14:paraId="002F4A08">
      <w:pPr>
        <w:pStyle w:val="76"/>
        <w:numPr>
          <w:ilvl w:val="0"/>
          <w:numId w:val="6"/>
        </w:numPr>
        <w:overflowPunct/>
        <w:autoSpaceDE/>
        <w:autoSpaceDN/>
        <w:adjustRightInd/>
        <w:spacing w:after="120"/>
        <w:ind w:left="720" w:firstLineChars="0"/>
        <w:textAlignment w:val="auto"/>
        <w:rPr>
          <w:rFonts w:eastAsia="宋体"/>
          <w:i/>
          <w:iCs/>
          <w:color w:val="auto"/>
          <w:sz w:val="20"/>
          <w:szCs w:val="20"/>
          <w:lang w:eastAsia="zh-CN"/>
        </w:rPr>
      </w:pPr>
      <w:r>
        <w:rPr>
          <w:rFonts w:eastAsia="宋体"/>
          <w:i/>
          <w:iCs/>
          <w:color w:val="auto"/>
          <w:sz w:val="20"/>
          <w:szCs w:val="20"/>
          <w:lang w:eastAsia="zh-CN"/>
        </w:rPr>
        <w:t>Recommended WF:</w:t>
      </w:r>
    </w:p>
    <w:p w14:paraId="3137C1F0">
      <w:pPr>
        <w:pStyle w:val="76"/>
        <w:numPr>
          <w:ilvl w:val="1"/>
          <w:numId w:val="6"/>
        </w:numPr>
        <w:overflowPunct/>
        <w:autoSpaceDE/>
        <w:autoSpaceDN/>
        <w:adjustRightInd/>
        <w:spacing w:after="120"/>
        <w:ind w:firstLineChars="0"/>
        <w:textAlignment w:val="auto"/>
        <w:rPr>
          <w:rFonts w:eastAsia="宋体"/>
          <w:i/>
          <w:iCs/>
          <w:color w:val="auto"/>
          <w:sz w:val="20"/>
          <w:szCs w:val="20"/>
          <w:lang w:eastAsia="zh-CN"/>
        </w:rPr>
      </w:pPr>
      <w:r>
        <w:rPr>
          <w:rFonts w:eastAsia="宋体"/>
          <w:i/>
          <w:iCs/>
          <w:color w:val="auto"/>
          <w:sz w:val="20"/>
          <w:szCs w:val="20"/>
          <w:lang w:eastAsia="zh-CN"/>
        </w:rPr>
        <w:t>No requirements when SSB adaptation happens during TCI state switching.</w:t>
      </w:r>
    </w:p>
    <w:p w14:paraId="13CB32CE">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If the SSB periodicity adaptation happens during TCI state switching, the L1-RSRP measurement will be impacted. However, for L1-RSRP measurement requirement at transition, the L1 evaluation/measurement period is the maximum of the period corresponding to the SSB before and after adaptation.</w:t>
      </w:r>
    </w:p>
    <w:p w14:paraId="58DE8969">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auto"/>
        <w:rPr>
          <w:rFonts w:hint="eastAsia" w:eastAsia="宋体"/>
          <w:sz w:val="20"/>
          <w:szCs w:val="20"/>
          <w:lang w:val="en-US" w:eastAsia="zh-CN"/>
        </w:rPr>
      </w:pPr>
      <w:r>
        <w:rPr>
          <w:rFonts w:hint="eastAsia" w:eastAsia="宋体"/>
          <w:sz w:val="20"/>
          <w:szCs w:val="20"/>
          <w:lang w:val="en-US" w:eastAsia="zh-CN"/>
        </w:rPr>
        <w:t>Therefore, during switch procedure, if network shorten the SSB periodicity for fast TCI state switching, the delay requirement will not be shortened. If network enlarge the SSB periodicity for power saving, the TCI state switch delay will be increased, the performance will be impacted. As a consequence, we fail to see the gain to perform SSB adaptation during TCI state switching.</w:t>
      </w:r>
    </w:p>
    <w:p w14:paraId="4E7E1047">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6: No requirement for the case that SSB adaptation during TCI state switching.</w:t>
      </w:r>
    </w:p>
    <w:p w14:paraId="65EB2D2A">
      <w:pPr>
        <w:overflowPunct w:val="0"/>
        <w:autoSpaceDE w:val="0"/>
        <w:autoSpaceDN w:val="0"/>
        <w:adjustRightInd w:val="0"/>
        <w:spacing w:after="120"/>
        <w:jc w:val="both"/>
        <w:rPr>
          <w:rFonts w:hint="default"/>
          <w:b/>
          <w:bCs/>
          <w:i/>
          <w:iCs/>
          <w:sz w:val="20"/>
          <w:szCs w:val="20"/>
          <w:lang w:val="en-US" w:eastAsia="zh-CN"/>
        </w:rPr>
      </w:pPr>
    </w:p>
    <w:p w14:paraId="6D4AE0D8">
      <w:pPr>
        <w:overflowPunct w:val="0"/>
        <w:autoSpaceDE w:val="0"/>
        <w:autoSpaceDN w:val="0"/>
        <w:adjustRightInd w:val="0"/>
        <w:spacing w:after="120"/>
        <w:jc w:val="both"/>
        <w:rPr>
          <w:rFonts w:hint="default"/>
          <w:b/>
          <w:bCs/>
          <w:i/>
          <w:iCs/>
          <w:sz w:val="20"/>
          <w:szCs w:val="20"/>
          <w:u w:val="single"/>
          <w:lang w:val="en-US" w:eastAsia="zh-CN"/>
        </w:rPr>
      </w:pPr>
      <w:r>
        <w:rPr>
          <w:rFonts w:hint="eastAsia"/>
          <w:b/>
          <w:bCs/>
          <w:i/>
          <w:iCs/>
          <w:sz w:val="20"/>
          <w:szCs w:val="20"/>
          <w:u w:val="single"/>
          <w:lang w:val="en-US" w:eastAsia="zh-CN"/>
        </w:rPr>
        <w:t xml:space="preserve">L3 measurement related </w:t>
      </w:r>
    </w:p>
    <w:p w14:paraId="01A0241F">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auto"/>
        <w:rPr>
          <w:rFonts w:hint="default" w:eastAsia="宋体"/>
          <w:sz w:val="20"/>
          <w:szCs w:val="20"/>
          <w:lang w:val="en-US" w:eastAsia="zh-CN"/>
        </w:rPr>
      </w:pPr>
      <w:r>
        <w:rPr>
          <w:rFonts w:hint="eastAsia" w:eastAsia="宋体"/>
          <w:sz w:val="20"/>
          <w:szCs w:val="20"/>
          <w:lang w:val="en-US" w:eastAsia="zh-CN"/>
        </w:rPr>
        <w:t>Due to the LS on whether there is impact on SMTC hasn</w:t>
      </w:r>
      <w:r>
        <w:rPr>
          <w:rFonts w:hint="default" w:eastAsia="宋体"/>
          <w:sz w:val="20"/>
          <w:szCs w:val="20"/>
          <w:lang w:val="en-US" w:eastAsia="zh-CN"/>
        </w:rPr>
        <w:t>’</w:t>
      </w:r>
      <w:r>
        <w:rPr>
          <w:rFonts w:hint="eastAsia" w:eastAsia="宋体"/>
          <w:sz w:val="20"/>
          <w:szCs w:val="20"/>
          <w:lang w:val="en-US" w:eastAsia="zh-CN"/>
        </w:rPr>
        <w:t>t been replied by RAN2, we postpone the discussion about L3 measurements requirements and the delay requirements rely on SMTC.</w:t>
      </w:r>
    </w:p>
    <w:p w14:paraId="73F2838E">
      <w:pPr>
        <w:overflowPunct w:val="0"/>
        <w:autoSpaceDE w:val="0"/>
        <w:autoSpaceDN w:val="0"/>
        <w:adjustRightInd w:val="0"/>
        <w:spacing w:after="120"/>
        <w:jc w:val="both"/>
        <w:rPr>
          <w:rFonts w:hint="default"/>
          <w:b/>
          <w:bCs/>
          <w:i/>
          <w:iCs/>
          <w:sz w:val="20"/>
          <w:szCs w:val="20"/>
          <w:lang w:val="en-US" w:eastAsia="zh-CN"/>
        </w:rPr>
      </w:pPr>
    </w:p>
    <w:bookmarkEnd w:id="5"/>
    <w:p w14:paraId="0F4F5B9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7D3AB0D">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Based on the discussion above, the following proposals</w:t>
      </w:r>
      <w:r>
        <w:rPr>
          <w:rFonts w:hint="eastAsia"/>
          <w:sz w:val="20"/>
          <w:szCs w:val="20"/>
          <w:lang w:val="en-US" w:eastAsia="zh-CN"/>
        </w:rPr>
        <w:t xml:space="preserve"> </w:t>
      </w:r>
      <w:r>
        <w:rPr>
          <w:sz w:val="20"/>
          <w:szCs w:val="20"/>
        </w:rPr>
        <w:t xml:space="preserve">are concluded. </w:t>
      </w:r>
      <w:bookmarkEnd w:id="6"/>
      <w:bookmarkEnd w:id="7"/>
    </w:p>
    <w:p w14:paraId="5C3A26D1">
      <w:pPr>
        <w:overflowPunct w:val="0"/>
        <w:autoSpaceDE w:val="0"/>
        <w:autoSpaceDN w:val="0"/>
        <w:adjustRightInd w:val="0"/>
        <w:spacing w:after="120"/>
        <w:jc w:val="both"/>
        <w:rPr>
          <w:rFonts w:hint="eastAsia" w:hAnsi="Cambria Math" w:eastAsia="宋体"/>
          <w:b/>
          <w:bCs/>
          <w:i/>
          <w:iCs/>
          <w:sz w:val="20"/>
          <w:szCs w:val="20"/>
          <w:lang w:val="en-US" w:eastAsia="zh-CN"/>
        </w:rPr>
      </w:pPr>
      <w:r>
        <w:rPr>
          <w:rFonts w:hint="eastAsia"/>
          <w:b/>
          <w:bCs/>
          <w:i/>
          <w:iCs/>
          <w:sz w:val="20"/>
          <w:szCs w:val="20"/>
          <w:lang w:val="en-US" w:eastAsia="zh-CN"/>
        </w:rPr>
        <w:t xml:space="preserve">Proposal 1: For the UL timing requirement of UL-WUS, the </w:t>
      </w:r>
      <w:r>
        <w:rPr>
          <w:rFonts w:hint="eastAsia" w:eastAsia="宋体"/>
          <w:b/>
          <w:bCs/>
          <w:i/>
          <w:iCs/>
          <w:sz w:val="20"/>
          <w:szCs w:val="20"/>
          <w:lang w:val="en-US" w:eastAsia="zh-CN"/>
        </w:rPr>
        <w:t>DL timing reference of UL-WUS shall be the downlink timing of the reference</w:t>
      </w:r>
      <w:r>
        <w:rPr>
          <w:rFonts w:hint="eastAsia" w:eastAsia="宋体"/>
          <w:b/>
          <w:bCs/>
          <w:i/>
          <w:iCs/>
          <w:sz w:val="20"/>
          <w:szCs w:val="20"/>
          <w:u w:val="none"/>
          <w:lang w:val="en-US" w:eastAsia="zh-CN"/>
        </w:rPr>
        <w:t xml:space="preserve"> cell </w:t>
      </w:r>
      <w:r>
        <w:rPr>
          <w:rFonts w:hint="eastAsia" w:eastAsia="宋体"/>
          <w:b/>
          <w:bCs/>
          <w:i/>
          <w:iCs/>
          <w:sz w:val="20"/>
          <w:szCs w:val="20"/>
          <w:lang w:val="en-US" w:eastAsia="zh-CN"/>
        </w:rPr>
        <w:t xml:space="preserve">minus </w:t>
      </w:r>
      <m:oMath>
        <m:d>
          <m:dPr>
            <m:ctrlPr>
              <w:rPr>
                <w:rFonts w:hint="eastAsia" w:ascii="Cambria Math" w:hAnsi="Cambria Math" w:eastAsia="宋体"/>
                <w:b/>
                <w:bCs/>
                <w:i/>
                <w:iCs/>
                <w:sz w:val="20"/>
                <w:szCs w:val="20"/>
                <w:lang w:val="en-US" w:eastAsia="zh-CN"/>
              </w:rPr>
            </m:ctrlPr>
          </m:dPr>
          <m:e>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N</m:t>
                </m:r>
                <m:ctrlPr>
                  <w:rPr>
                    <w:rFonts w:hint="eastAsia" w:ascii="Cambria Math" w:hAnsi="Cambria Math" w:eastAsia="宋体"/>
                    <w:b/>
                    <w:bCs/>
                    <w:i/>
                    <w:iCs/>
                    <w:sz w:val="20"/>
                    <w:szCs w:val="20"/>
                    <w:lang w:val="en-US" w:eastAsia="zh-CN"/>
                  </w:rPr>
                </m:ctrlPr>
              </m:e>
              <m:sub>
                <m:r>
                  <m:rPr>
                    <m:nor/>
                    <m:sty m:val="bi"/>
                  </m:rPr>
                  <w:rPr>
                    <w:rFonts w:hint="eastAsia" w:ascii="Cambria Math" w:hAnsi="Cambria Math" w:eastAsia="宋体"/>
                    <w:b/>
                    <w:bCs/>
                    <w:i/>
                    <w:iCs/>
                    <w:sz w:val="20"/>
                    <w:szCs w:val="20"/>
                    <w:lang w:val="en-US" w:eastAsia="zh-CN"/>
                  </w:rPr>
                  <m:t>TA</m:t>
                </m:r>
                <m:ctrlPr>
                  <w:rPr>
                    <w:rFonts w:hint="eastAsia" w:ascii="Cambria Math" w:hAnsi="Cambria Math" w:eastAsia="宋体"/>
                    <w:b/>
                    <w:bCs/>
                    <w:i/>
                    <w:iCs/>
                    <w:sz w:val="20"/>
                    <w:szCs w:val="20"/>
                    <w:lang w:val="en-US" w:eastAsia="zh-CN"/>
                  </w:rPr>
                </m:ctrlPr>
              </m:sub>
            </m:sSub>
            <m:r>
              <m:rPr>
                <m:sty m:val="bi"/>
              </m:rPr>
              <w:rPr>
                <w:rFonts w:hint="eastAsia" w:ascii="Cambria Math" w:hAnsi="Cambria Math" w:eastAsia="宋体"/>
                <w:sz w:val="20"/>
                <w:szCs w:val="20"/>
                <w:lang w:val="en-US" w:eastAsia="zh-CN"/>
              </w:rPr>
              <m:t>+</m:t>
            </m:r>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N</m:t>
                </m:r>
                <m:ctrlPr>
                  <w:rPr>
                    <w:rFonts w:hint="eastAsia" w:ascii="Cambria Math" w:hAnsi="Cambria Math" w:eastAsia="宋体"/>
                    <w:b/>
                    <w:bCs/>
                    <w:i/>
                    <w:iCs/>
                    <w:sz w:val="20"/>
                    <w:szCs w:val="20"/>
                    <w:lang w:val="en-US" w:eastAsia="zh-CN"/>
                  </w:rPr>
                </m:ctrlPr>
              </m:e>
              <m:sub>
                <m:r>
                  <m:rPr>
                    <m:nor/>
                    <m:sty m:val="bi"/>
                  </m:rPr>
                  <w:rPr>
                    <w:rFonts w:hint="eastAsia" w:ascii="Cambria Math" w:hAnsi="Cambria Math" w:eastAsia="宋体"/>
                    <w:b/>
                    <w:bCs/>
                    <w:i/>
                    <w:iCs/>
                    <w:sz w:val="20"/>
                    <w:szCs w:val="20"/>
                    <w:lang w:val="en-US" w:eastAsia="zh-CN"/>
                  </w:rPr>
                  <m:t>TA offset</m:t>
                </m:r>
                <m:ctrlPr>
                  <w:rPr>
                    <w:rFonts w:hint="eastAsia" w:ascii="Cambria Math" w:hAnsi="Cambria Math" w:eastAsia="宋体"/>
                    <w:b/>
                    <w:bCs/>
                    <w:i/>
                    <w:iCs/>
                    <w:sz w:val="20"/>
                    <w:szCs w:val="20"/>
                    <w:lang w:val="en-US" w:eastAsia="zh-CN"/>
                  </w:rPr>
                </m:ctrlPr>
              </m:sub>
            </m:sSub>
            <m:ctrlPr>
              <w:rPr>
                <w:rFonts w:hint="eastAsia" w:ascii="Cambria Math" w:hAnsi="Cambria Math" w:eastAsia="宋体"/>
                <w:b/>
                <w:bCs/>
                <w:i/>
                <w:iCs/>
                <w:sz w:val="20"/>
                <w:szCs w:val="20"/>
                <w:lang w:val="en-US" w:eastAsia="zh-CN"/>
              </w:rPr>
            </m:ctrlPr>
          </m:e>
        </m:d>
        <m:r>
          <m:rPr>
            <m:sty m:val="bi"/>
          </m:rPr>
          <w:rPr>
            <w:rFonts w:hint="eastAsia" w:ascii="Cambria Math" w:hAnsi="Cambria Math" w:eastAsia="宋体"/>
            <w:sz w:val="20"/>
            <w:szCs w:val="20"/>
            <w:lang w:val="en-US" w:eastAsia="zh-CN"/>
          </w:rPr>
          <m:t>×</m:t>
        </m:r>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T</m:t>
            </m:r>
            <m:ctrlPr>
              <w:rPr>
                <w:rFonts w:hint="eastAsia" w:ascii="Cambria Math" w:hAnsi="Cambria Math" w:eastAsia="宋体"/>
                <w:b/>
                <w:bCs/>
                <w:i/>
                <w:iCs/>
                <w:sz w:val="20"/>
                <w:szCs w:val="20"/>
                <w:lang w:val="en-US" w:eastAsia="zh-CN"/>
              </w:rPr>
            </m:ctrlPr>
          </m:e>
          <m:sub>
            <m:r>
              <m:rPr>
                <m:sty m:val="bi"/>
              </m:rPr>
              <w:rPr>
                <w:rFonts w:hint="default" w:ascii="Cambria Math" w:hAnsi="Cambria Math" w:eastAsia="宋体"/>
                <w:sz w:val="20"/>
                <w:szCs w:val="20"/>
                <w:lang w:val="en-US" w:eastAsia="zh-CN"/>
              </w:rPr>
              <m:t>c</m:t>
            </m:r>
            <m:ctrlPr>
              <w:rPr>
                <w:rFonts w:hint="eastAsia" w:ascii="Cambria Math" w:hAnsi="Cambria Math" w:eastAsia="宋体"/>
                <w:b/>
                <w:bCs/>
                <w:i/>
                <w:iCs/>
                <w:sz w:val="20"/>
                <w:szCs w:val="20"/>
                <w:lang w:val="en-US" w:eastAsia="zh-CN"/>
              </w:rPr>
            </m:ctrlPr>
          </m:sub>
        </m:sSub>
      </m:oMath>
      <w:r>
        <w:rPr>
          <w:rFonts w:hint="eastAsia" w:hAnsi="Cambria Math" w:eastAsia="宋体"/>
          <w:b/>
          <w:bCs/>
          <w:i/>
          <w:iCs/>
          <w:sz w:val="20"/>
          <w:szCs w:val="20"/>
          <w:lang w:val="en-US" w:eastAsia="zh-CN"/>
        </w:rPr>
        <w:t>, that:</w:t>
      </w:r>
    </w:p>
    <w:p w14:paraId="27A09AFD">
      <w:pPr>
        <w:numPr>
          <w:ilvl w:val="0"/>
          <w:numId w:val="5"/>
        </w:numPr>
        <w:overflowPunct w:val="0"/>
        <w:autoSpaceDE w:val="0"/>
        <w:autoSpaceDN w:val="0"/>
        <w:adjustRightInd w:val="0"/>
        <w:spacing w:after="120"/>
        <w:ind w:left="420" w:leftChars="0" w:hanging="420" w:firstLineChars="0"/>
        <w:jc w:val="both"/>
        <w:rPr>
          <w:rFonts w:hint="eastAsia" w:hAnsi="Cambria Math" w:eastAsia="宋体"/>
          <w:b/>
          <w:bCs/>
          <w:i/>
          <w:iCs/>
          <w:sz w:val="20"/>
          <w:szCs w:val="20"/>
          <w:lang w:val="en-US" w:eastAsia="zh-CN"/>
        </w:rPr>
      </w:pPr>
      <w:r>
        <w:rPr>
          <w:rFonts w:hint="eastAsia" w:hAnsi="Cambria Math" w:eastAsia="宋体"/>
          <w:b/>
          <w:bCs/>
          <w:i/>
          <w:iCs/>
          <w:sz w:val="20"/>
          <w:szCs w:val="20"/>
          <w:lang w:val="en-US" w:eastAsia="zh-CN"/>
        </w:rPr>
        <w:t>reference cell is the NES cell</w:t>
      </w:r>
    </w:p>
    <w:p w14:paraId="3B7D4188">
      <w:pPr>
        <w:numPr>
          <w:ilvl w:val="0"/>
          <w:numId w:val="5"/>
        </w:numPr>
        <w:overflowPunct w:val="0"/>
        <w:autoSpaceDE w:val="0"/>
        <w:autoSpaceDN w:val="0"/>
        <w:adjustRightInd w:val="0"/>
        <w:spacing w:after="120"/>
        <w:ind w:left="420" w:leftChars="0" w:hanging="420" w:firstLineChars="0"/>
        <w:jc w:val="both"/>
        <w:rPr>
          <w:rFonts w:hint="eastAsia" w:hAnsi="Cambria Math" w:eastAsia="宋体"/>
          <w:b/>
          <w:bCs/>
          <w:i/>
          <w:iCs/>
          <w:sz w:val="20"/>
          <w:szCs w:val="20"/>
          <w:lang w:val="en-US" w:eastAsia="zh-CN"/>
        </w:rPr>
      </w:pPr>
      <w:r>
        <w:rPr>
          <w:rFonts w:hint="eastAsia" w:hAnsi="Cambria Math" w:eastAsia="宋体"/>
          <w:b/>
          <w:bCs/>
          <w:i/>
          <w:iCs/>
          <w:sz w:val="20"/>
          <w:szCs w:val="20"/>
          <w:lang w:val="en-US" w:eastAsia="zh-CN"/>
        </w:rPr>
        <w:t>N</w:t>
      </w:r>
      <w:r>
        <w:rPr>
          <w:rFonts w:hint="eastAsia" w:hAnsi="Cambria Math" w:eastAsia="宋体"/>
          <w:b/>
          <w:bCs/>
          <w:i/>
          <w:iCs/>
          <w:sz w:val="20"/>
          <w:szCs w:val="20"/>
          <w:vertAlign w:val="subscript"/>
          <w:lang w:val="en-US" w:eastAsia="zh-CN"/>
        </w:rPr>
        <w:t>TA</w:t>
      </w:r>
      <w:r>
        <w:rPr>
          <w:rFonts w:hint="eastAsia" w:hAnsi="Cambria Math" w:eastAsia="宋体"/>
          <w:b/>
          <w:bCs/>
          <w:i/>
          <w:iCs/>
          <w:sz w:val="20"/>
          <w:szCs w:val="20"/>
          <w:lang w:val="en-US" w:eastAsia="zh-CN"/>
        </w:rPr>
        <w:t xml:space="preserve"> for UL-WUS is defined as 0</w:t>
      </w:r>
    </w:p>
    <w:p w14:paraId="0CBDB6DA">
      <w:pPr>
        <w:numPr>
          <w:ilvl w:val="0"/>
          <w:numId w:val="5"/>
        </w:numPr>
        <w:overflowPunct w:val="0"/>
        <w:autoSpaceDE w:val="0"/>
        <w:autoSpaceDN w:val="0"/>
        <w:adjustRightInd w:val="0"/>
        <w:spacing w:after="120"/>
        <w:ind w:left="420" w:leftChars="0" w:hanging="420" w:firstLineChars="0"/>
        <w:jc w:val="both"/>
        <w:rPr>
          <w:rFonts w:hint="default" w:eastAsia="宋体"/>
          <w:sz w:val="20"/>
          <w:szCs w:val="20"/>
          <w:lang w:val="en-US" w:eastAsia="zh-CN"/>
        </w:rPr>
      </w:pPr>
      <w:r>
        <w:rPr>
          <w:b/>
          <w:bCs/>
          <w:i/>
          <w:iCs/>
          <w:position w:val="-10"/>
          <w:sz w:val="20"/>
          <w:szCs w:val="20"/>
          <w:lang w:val="en-US" w:eastAsia="zh-CN"/>
        </w:rPr>
        <w:drawing>
          <wp:inline distT="0" distB="0" distL="0" distR="0">
            <wp:extent cx="494665" cy="187960"/>
            <wp:effectExtent l="0" t="0" r="635" b="190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b/>
          <w:bCs/>
          <w:i/>
          <w:iCs/>
          <w:sz w:val="20"/>
          <w:szCs w:val="20"/>
          <w:lang w:val="en-US" w:eastAsia="zh-CN"/>
        </w:rPr>
        <w:t xml:space="preserve">is </w:t>
      </w:r>
      <w:r>
        <w:rPr>
          <w:b/>
          <w:bCs/>
          <w:i/>
          <w:iCs/>
          <w:sz w:val="20"/>
          <w:szCs w:val="20"/>
        </w:rPr>
        <w:t>the n-TimingAdvanceOffset</w:t>
      </w:r>
      <w:r>
        <w:rPr>
          <w:rFonts w:hint="eastAsia"/>
          <w:b/>
          <w:bCs/>
          <w:i/>
          <w:iCs/>
          <w:sz w:val="20"/>
          <w:szCs w:val="20"/>
          <w:lang w:val="en-US" w:eastAsia="zh-CN"/>
        </w:rPr>
        <w:t xml:space="preserve"> from UL-WUS configuration if configured, if not, follow the default value defined in Table 7.1.2-2 TS 38.133</w:t>
      </w:r>
    </w:p>
    <w:p w14:paraId="2F4675A3">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 The L1 transition requirements will be applied to BFD, L1-RSRP and L1-SINR measurement of serving cell.</w:t>
      </w:r>
    </w:p>
    <w:p w14:paraId="250B970E">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3: No requirement for the case that SSB adaptation during SCell activation.</w:t>
      </w:r>
    </w:p>
    <w:p w14:paraId="51548FDD">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4: Legacy requirement can be reused for the case that SSB adaptation before SCell activation.</w:t>
      </w:r>
    </w:p>
    <w:p w14:paraId="45001A07">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5: UE shall use the adapted SSB for SCell activation for the case of SSB adaptation happens at the same time as SCell activation.</w:t>
      </w:r>
    </w:p>
    <w:p w14:paraId="36041A2E">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6: No requirement for the case that SSB adaptation during TCI state switching.</w:t>
      </w:r>
    </w:p>
    <w:p w14:paraId="05C3D8A4">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05EA73F">
      <w:pPr>
        <w:numPr>
          <w:ilvl w:val="0"/>
          <w:numId w:val="7"/>
        </w:numPr>
        <w:rPr>
          <w:rFonts w:hint="eastAsia"/>
          <w:sz w:val="20"/>
          <w:szCs w:val="20"/>
          <w:lang w:val="en-GB" w:eastAsia="zh-CN"/>
        </w:rPr>
      </w:pPr>
      <w:r>
        <w:rPr>
          <w:rFonts w:hint="eastAsia"/>
          <w:sz w:val="20"/>
          <w:szCs w:val="20"/>
          <w:lang w:val="en-US" w:eastAsia="zh-CN"/>
        </w:rPr>
        <w:t>R4-2418282, Topic summary for [113][224] Netw_Energy_NR_enh_Part1, Moderator (Ericsson)</w:t>
      </w:r>
    </w:p>
    <w:p w14:paraId="6BAFAE14">
      <w:pPr>
        <w:numPr>
          <w:ilvl w:val="0"/>
          <w:numId w:val="7"/>
        </w:numPr>
        <w:rPr>
          <w:rFonts w:hint="eastAsia"/>
          <w:sz w:val="20"/>
          <w:szCs w:val="20"/>
          <w:lang w:val="en-GB" w:eastAsia="zh-CN"/>
        </w:rPr>
      </w:pPr>
      <w:r>
        <w:rPr>
          <w:rFonts w:hint="eastAsia"/>
          <w:sz w:val="20"/>
          <w:szCs w:val="20"/>
          <w:lang w:val="en-US" w:eastAsia="zh-CN"/>
        </w:rPr>
        <w:t>R4-2418283, Topic summary for [113][225] Netw_Energy_NR_enh_Part2, Moderator (Huawei)</w:t>
      </w:r>
    </w:p>
    <w:p w14:paraId="13D75B42">
      <w:pPr>
        <w:numPr>
          <w:ilvl w:val="0"/>
          <w:numId w:val="7"/>
        </w:numPr>
        <w:rPr>
          <w:rFonts w:hint="eastAsia"/>
          <w:sz w:val="20"/>
          <w:szCs w:val="20"/>
          <w:lang w:val="en-GB" w:eastAsia="zh-CN"/>
        </w:rPr>
      </w:pPr>
      <w:r>
        <w:rPr>
          <w:rFonts w:hint="eastAsia"/>
          <w:sz w:val="20"/>
          <w:szCs w:val="20"/>
          <w:lang w:val="en-GB" w:eastAsia="zh-CN"/>
        </w:rPr>
        <w:t>R4-2420242</w:t>
      </w:r>
      <w:r>
        <w:rPr>
          <w:rFonts w:hint="eastAsia"/>
          <w:sz w:val="20"/>
          <w:szCs w:val="20"/>
          <w:lang w:val="en-US" w:eastAsia="zh-CN"/>
        </w:rPr>
        <w:t>, WF on RRM requirements for Netw_Energy_NR_enh_Part2, Huawei</w:t>
      </w:r>
    </w:p>
    <w:p w14:paraId="33925108">
      <w:pPr>
        <w:numPr>
          <w:ilvl w:val="0"/>
          <w:numId w:val="0"/>
        </w:numPr>
        <w:rPr>
          <w:rFonts w:hint="eastAsia"/>
          <w:sz w:val="20"/>
          <w:szCs w:val="20"/>
          <w:lang w:val="en-GB" w:eastAsia="zh-CN"/>
        </w:rPr>
      </w:pPr>
    </w:p>
    <w:p w14:paraId="06E44DC3">
      <w:pPr>
        <w:numPr>
          <w:ilvl w:val="0"/>
          <w:numId w:val="0"/>
        </w:numPr>
        <w:rPr>
          <w:rFonts w:hint="eastAsia"/>
          <w:sz w:val="20"/>
          <w:szCs w:val="20"/>
          <w:lang w:val="en-GB" w:eastAsia="zh-CN"/>
        </w:rPr>
      </w:pPr>
    </w:p>
    <w:p w14:paraId="15FAE36F">
      <w:pPr>
        <w:numPr>
          <w:ilvl w:val="0"/>
          <w:numId w:val="0"/>
        </w:numPr>
        <w:rPr>
          <w:rFonts w:hint="eastAsia"/>
          <w:sz w:val="20"/>
          <w:szCs w:val="20"/>
          <w:lang w:val="en-GB" w:eastAsia="zh-CN"/>
        </w:rPr>
      </w:pPr>
    </w:p>
    <w:p w14:paraId="1A1537A6">
      <w:pPr>
        <w:numPr>
          <w:ilvl w:val="0"/>
          <w:numId w:val="0"/>
        </w:numPr>
        <w:rPr>
          <w:rFonts w:hint="eastAsia"/>
          <w:sz w:val="20"/>
          <w:szCs w:val="20"/>
          <w:lang w:val="en-GB"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DCE4CB0F"/>
    <w:multiLevelType w:val="singleLevel"/>
    <w:tmpl w:val="DCE4CB0F"/>
    <w:lvl w:ilvl="0" w:tentative="0">
      <w:start w:val="1"/>
      <w:numFmt w:val="bullet"/>
      <w:lvlText w:val=""/>
      <w:lvlJc w:val="left"/>
      <w:pPr>
        <w:ind w:left="420" w:hanging="420"/>
      </w:pPr>
      <w:rPr>
        <w:rFonts w:hint="default" w:ascii="Wingdings" w:hAnsi="Wingdings"/>
      </w:rPr>
    </w:lvl>
  </w:abstractNum>
  <w:abstractNum w:abstractNumId="2">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26C01AD"/>
    <w:rsid w:val="02811DB3"/>
    <w:rsid w:val="03F16F56"/>
    <w:rsid w:val="0434763B"/>
    <w:rsid w:val="04605FB2"/>
    <w:rsid w:val="056C0B5C"/>
    <w:rsid w:val="059B2FBB"/>
    <w:rsid w:val="05B66B2B"/>
    <w:rsid w:val="05C31792"/>
    <w:rsid w:val="05E9310D"/>
    <w:rsid w:val="05ED3B2D"/>
    <w:rsid w:val="06380D63"/>
    <w:rsid w:val="06C938D1"/>
    <w:rsid w:val="06D13BC6"/>
    <w:rsid w:val="0775691E"/>
    <w:rsid w:val="07E010CA"/>
    <w:rsid w:val="08966482"/>
    <w:rsid w:val="09063CAD"/>
    <w:rsid w:val="091F2183"/>
    <w:rsid w:val="09DA048F"/>
    <w:rsid w:val="0A726FAB"/>
    <w:rsid w:val="0AC91636"/>
    <w:rsid w:val="0AD74098"/>
    <w:rsid w:val="0B3F7A8C"/>
    <w:rsid w:val="0B901DF3"/>
    <w:rsid w:val="0E592C66"/>
    <w:rsid w:val="0F4030E6"/>
    <w:rsid w:val="10252A5E"/>
    <w:rsid w:val="103633B9"/>
    <w:rsid w:val="105C4837"/>
    <w:rsid w:val="11775C6E"/>
    <w:rsid w:val="125263AC"/>
    <w:rsid w:val="12F708E7"/>
    <w:rsid w:val="12FB52D6"/>
    <w:rsid w:val="13C54761"/>
    <w:rsid w:val="144F009D"/>
    <w:rsid w:val="146E158D"/>
    <w:rsid w:val="14E02C25"/>
    <w:rsid w:val="157B2E35"/>
    <w:rsid w:val="15F8258F"/>
    <w:rsid w:val="164F7B75"/>
    <w:rsid w:val="175519EF"/>
    <w:rsid w:val="17EE0B2A"/>
    <w:rsid w:val="187E0711"/>
    <w:rsid w:val="18831A63"/>
    <w:rsid w:val="194C056B"/>
    <w:rsid w:val="198E3F9B"/>
    <w:rsid w:val="19977565"/>
    <w:rsid w:val="1A367ECB"/>
    <w:rsid w:val="1A5E6A80"/>
    <w:rsid w:val="1AA908A3"/>
    <w:rsid w:val="1B311BB0"/>
    <w:rsid w:val="1B81057D"/>
    <w:rsid w:val="1C2A4303"/>
    <w:rsid w:val="1C4140A3"/>
    <w:rsid w:val="1C7E3BD3"/>
    <w:rsid w:val="1CBA70AF"/>
    <w:rsid w:val="1D2B280C"/>
    <w:rsid w:val="1D5B4C92"/>
    <w:rsid w:val="1D5F76BA"/>
    <w:rsid w:val="1DE54287"/>
    <w:rsid w:val="1DF035A9"/>
    <w:rsid w:val="1EB2708E"/>
    <w:rsid w:val="1F6714C5"/>
    <w:rsid w:val="21F31B70"/>
    <w:rsid w:val="2212587A"/>
    <w:rsid w:val="22394DC0"/>
    <w:rsid w:val="2261677D"/>
    <w:rsid w:val="228710D8"/>
    <w:rsid w:val="238D325A"/>
    <w:rsid w:val="238F7F15"/>
    <w:rsid w:val="248F342A"/>
    <w:rsid w:val="2539010A"/>
    <w:rsid w:val="25C32E03"/>
    <w:rsid w:val="25EB7656"/>
    <w:rsid w:val="26455B2C"/>
    <w:rsid w:val="26C167B6"/>
    <w:rsid w:val="270D633C"/>
    <w:rsid w:val="27496E3C"/>
    <w:rsid w:val="27786ACC"/>
    <w:rsid w:val="2884631A"/>
    <w:rsid w:val="28A67D37"/>
    <w:rsid w:val="28CB714E"/>
    <w:rsid w:val="29AF71E8"/>
    <w:rsid w:val="29DD14E4"/>
    <w:rsid w:val="2A2B6CE0"/>
    <w:rsid w:val="2A807AE4"/>
    <w:rsid w:val="2A86553C"/>
    <w:rsid w:val="2C5C2FEC"/>
    <w:rsid w:val="2C5C418D"/>
    <w:rsid w:val="2CA30CBD"/>
    <w:rsid w:val="2D202CAF"/>
    <w:rsid w:val="2D322639"/>
    <w:rsid w:val="2D921625"/>
    <w:rsid w:val="2DC659D1"/>
    <w:rsid w:val="2DD75F9C"/>
    <w:rsid w:val="2E464966"/>
    <w:rsid w:val="2E535EC2"/>
    <w:rsid w:val="2E683C59"/>
    <w:rsid w:val="2E871184"/>
    <w:rsid w:val="2F5838B9"/>
    <w:rsid w:val="3007171F"/>
    <w:rsid w:val="312749F9"/>
    <w:rsid w:val="328479C9"/>
    <w:rsid w:val="328A418D"/>
    <w:rsid w:val="3346489F"/>
    <w:rsid w:val="34785525"/>
    <w:rsid w:val="36164F55"/>
    <w:rsid w:val="365E056F"/>
    <w:rsid w:val="366E56BE"/>
    <w:rsid w:val="3676329D"/>
    <w:rsid w:val="37092A32"/>
    <w:rsid w:val="372F4478"/>
    <w:rsid w:val="3895132C"/>
    <w:rsid w:val="38D95D5B"/>
    <w:rsid w:val="38E4448D"/>
    <w:rsid w:val="39E43EC7"/>
    <w:rsid w:val="3A10328B"/>
    <w:rsid w:val="3A622FD7"/>
    <w:rsid w:val="3AC86875"/>
    <w:rsid w:val="3C045223"/>
    <w:rsid w:val="3C0B377F"/>
    <w:rsid w:val="3C66551A"/>
    <w:rsid w:val="3CE57EB2"/>
    <w:rsid w:val="3D3F1B31"/>
    <w:rsid w:val="3D757E60"/>
    <w:rsid w:val="3D8D382E"/>
    <w:rsid w:val="3DCE20FC"/>
    <w:rsid w:val="3E6A7347"/>
    <w:rsid w:val="3E78350E"/>
    <w:rsid w:val="3EDE44D4"/>
    <w:rsid w:val="3FCE5A5F"/>
    <w:rsid w:val="40061999"/>
    <w:rsid w:val="41766342"/>
    <w:rsid w:val="4195149B"/>
    <w:rsid w:val="419A3079"/>
    <w:rsid w:val="41A316E7"/>
    <w:rsid w:val="41B96EC5"/>
    <w:rsid w:val="420333A8"/>
    <w:rsid w:val="42272596"/>
    <w:rsid w:val="4434225B"/>
    <w:rsid w:val="443D3D86"/>
    <w:rsid w:val="446B2DE2"/>
    <w:rsid w:val="45263B26"/>
    <w:rsid w:val="469C1468"/>
    <w:rsid w:val="46A8131D"/>
    <w:rsid w:val="46DB4C8A"/>
    <w:rsid w:val="47117ED3"/>
    <w:rsid w:val="47B63C6D"/>
    <w:rsid w:val="4A6045A0"/>
    <w:rsid w:val="4A7D13F1"/>
    <w:rsid w:val="4AA27C3D"/>
    <w:rsid w:val="4B1E335D"/>
    <w:rsid w:val="4B920C94"/>
    <w:rsid w:val="4BD06085"/>
    <w:rsid w:val="4C5002EC"/>
    <w:rsid w:val="4CC9678E"/>
    <w:rsid w:val="4D02644B"/>
    <w:rsid w:val="4D1F0167"/>
    <w:rsid w:val="4DCA3EC3"/>
    <w:rsid w:val="4E2931CA"/>
    <w:rsid w:val="4E385321"/>
    <w:rsid w:val="4E3A6736"/>
    <w:rsid w:val="4E4D5343"/>
    <w:rsid w:val="4E6C0BC5"/>
    <w:rsid w:val="4EDF1DB1"/>
    <w:rsid w:val="4F8A27BF"/>
    <w:rsid w:val="4FAF0931"/>
    <w:rsid w:val="50104BC8"/>
    <w:rsid w:val="50406436"/>
    <w:rsid w:val="508E6F34"/>
    <w:rsid w:val="51193AF8"/>
    <w:rsid w:val="52A0321A"/>
    <w:rsid w:val="52F014E6"/>
    <w:rsid w:val="53AC779A"/>
    <w:rsid w:val="541B64BA"/>
    <w:rsid w:val="54343997"/>
    <w:rsid w:val="54A32364"/>
    <w:rsid w:val="54C75926"/>
    <w:rsid w:val="550F4C67"/>
    <w:rsid w:val="55633225"/>
    <w:rsid w:val="55855327"/>
    <w:rsid w:val="55A209EE"/>
    <w:rsid w:val="560918AE"/>
    <w:rsid w:val="56134310"/>
    <w:rsid w:val="5670596C"/>
    <w:rsid w:val="56864D16"/>
    <w:rsid w:val="57107129"/>
    <w:rsid w:val="575F74D4"/>
    <w:rsid w:val="57761081"/>
    <w:rsid w:val="5796443F"/>
    <w:rsid w:val="57C552B8"/>
    <w:rsid w:val="58AA2F55"/>
    <w:rsid w:val="58E45E13"/>
    <w:rsid w:val="59316355"/>
    <w:rsid w:val="5A0D7524"/>
    <w:rsid w:val="5A624644"/>
    <w:rsid w:val="5A7E4F33"/>
    <w:rsid w:val="5B0372E4"/>
    <w:rsid w:val="5B1248DB"/>
    <w:rsid w:val="5B475FB3"/>
    <w:rsid w:val="5C3F0114"/>
    <w:rsid w:val="5D111C3D"/>
    <w:rsid w:val="5D52426E"/>
    <w:rsid w:val="5E19471E"/>
    <w:rsid w:val="5E6B3912"/>
    <w:rsid w:val="5EC475D6"/>
    <w:rsid w:val="5EFC6FEB"/>
    <w:rsid w:val="5F5D21FE"/>
    <w:rsid w:val="5FB574AB"/>
    <w:rsid w:val="5FC86F8E"/>
    <w:rsid w:val="5FD22CE7"/>
    <w:rsid w:val="60046178"/>
    <w:rsid w:val="60F65564"/>
    <w:rsid w:val="61253125"/>
    <w:rsid w:val="61A76F12"/>
    <w:rsid w:val="61F5344E"/>
    <w:rsid w:val="62DF6110"/>
    <w:rsid w:val="63792484"/>
    <w:rsid w:val="63BA7386"/>
    <w:rsid w:val="660721B4"/>
    <w:rsid w:val="667C7355"/>
    <w:rsid w:val="67591C17"/>
    <w:rsid w:val="67F33176"/>
    <w:rsid w:val="67F9721F"/>
    <w:rsid w:val="688D6724"/>
    <w:rsid w:val="6A13360C"/>
    <w:rsid w:val="6A1B0A0D"/>
    <w:rsid w:val="6A4D75E7"/>
    <w:rsid w:val="6B297D4F"/>
    <w:rsid w:val="6B8B57B2"/>
    <w:rsid w:val="6BDC7C84"/>
    <w:rsid w:val="6C3C1BF0"/>
    <w:rsid w:val="6C9A7CBE"/>
    <w:rsid w:val="6CEC68F6"/>
    <w:rsid w:val="6D376B5F"/>
    <w:rsid w:val="6DEB4013"/>
    <w:rsid w:val="6E156513"/>
    <w:rsid w:val="6F8421CA"/>
    <w:rsid w:val="700379F2"/>
    <w:rsid w:val="70534BFD"/>
    <w:rsid w:val="714F65D4"/>
    <w:rsid w:val="71D432D4"/>
    <w:rsid w:val="71EA4F92"/>
    <w:rsid w:val="727805A8"/>
    <w:rsid w:val="72C016C8"/>
    <w:rsid w:val="738E1AE0"/>
    <w:rsid w:val="748C49C6"/>
    <w:rsid w:val="74F9640C"/>
    <w:rsid w:val="75307AD5"/>
    <w:rsid w:val="75FA3264"/>
    <w:rsid w:val="7656513E"/>
    <w:rsid w:val="767543BB"/>
    <w:rsid w:val="76A87E18"/>
    <w:rsid w:val="76B71C18"/>
    <w:rsid w:val="76C4680D"/>
    <w:rsid w:val="773853D9"/>
    <w:rsid w:val="77F5053C"/>
    <w:rsid w:val="78395B74"/>
    <w:rsid w:val="7883331E"/>
    <w:rsid w:val="78A20C1B"/>
    <w:rsid w:val="78D7305C"/>
    <w:rsid w:val="78E42393"/>
    <w:rsid w:val="79727D19"/>
    <w:rsid w:val="79951646"/>
    <w:rsid w:val="7A7535BE"/>
    <w:rsid w:val="7AD71133"/>
    <w:rsid w:val="7B2569DF"/>
    <w:rsid w:val="7B4C0432"/>
    <w:rsid w:val="7BBB337B"/>
    <w:rsid w:val="7BC93DFF"/>
    <w:rsid w:val="7C3B4CC2"/>
    <w:rsid w:val="7DDF358F"/>
    <w:rsid w:val="7E3C3FAA"/>
    <w:rsid w:val="7E86642D"/>
    <w:rsid w:val="7F0740B3"/>
    <w:rsid w:val="7F73742C"/>
    <w:rsid w:val="7F9805A1"/>
    <w:rsid w:val="7FAB0C76"/>
    <w:rsid w:val="7FD654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 w:type="paragraph" w:customStyle="1" w:styleId="90">
    <w:name w:val="List Paragraph9"/>
    <w:basedOn w:val="1"/>
    <w:qFormat/>
    <w:uiPriority w:val="0"/>
    <w:pPr>
      <w:ind w:left="840" w:leftChars="400"/>
    </w:pPr>
    <w:rPr>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5</Pages>
  <Words>1416</Words>
  <Characters>8076</Characters>
  <Lines>67</Lines>
  <Paragraphs>18</Paragraphs>
  <TotalTime>7</TotalTime>
  <ScaleCrop>false</ScaleCrop>
  <LinksUpToDate>false</LinksUpToDate>
  <CharactersWithSpaces>9474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2025-02-07T09:06:16Z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3F7F152D7F8A40E285BF429EB61BAE41</vt:lpwstr>
  </property>
</Properties>
</file>